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4B53AA4B" wp14:editId="63B8D9D6">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B53AA4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4B3377" w:rsidTr="00F862D6">
        <w:tc>
          <w:tcPr>
            <w:tcW w:w="1020" w:type="dxa"/>
          </w:tcPr>
          <w:p w:rsidR="004B3377" w:rsidRPr="003E6B9A" w:rsidRDefault="004B3377" w:rsidP="0077673A">
            <w:r w:rsidRPr="003E6B9A">
              <w:t>Naše zn.</w:t>
            </w:r>
          </w:p>
        </w:tc>
        <w:tc>
          <w:tcPr>
            <w:tcW w:w="2552" w:type="dxa"/>
          </w:tcPr>
          <w:p w:rsidR="004B3377" w:rsidRPr="003E6B9A" w:rsidRDefault="00C457EC" w:rsidP="00652301">
            <w:r w:rsidRPr="00C457EC">
              <w:t>13262/2020-SŽ-SSV-Ú3</w:t>
            </w:r>
          </w:p>
        </w:tc>
        <w:tc>
          <w:tcPr>
            <w:tcW w:w="823" w:type="dxa"/>
          </w:tcPr>
          <w:p w:rsidR="004B3377" w:rsidRDefault="004B3377" w:rsidP="0077673A"/>
        </w:tc>
        <w:tc>
          <w:tcPr>
            <w:tcW w:w="3685" w:type="dxa"/>
            <w:vMerge/>
          </w:tcPr>
          <w:p w:rsidR="004B3377" w:rsidRDefault="004B3377" w:rsidP="0077673A"/>
        </w:tc>
      </w:tr>
      <w:tr w:rsidR="004B3377" w:rsidTr="00F862D6">
        <w:tc>
          <w:tcPr>
            <w:tcW w:w="1020" w:type="dxa"/>
          </w:tcPr>
          <w:p w:rsidR="004B3377" w:rsidRDefault="004B3377" w:rsidP="0077673A">
            <w:r>
              <w:t>Listů/příloh</w:t>
            </w:r>
          </w:p>
        </w:tc>
        <w:tc>
          <w:tcPr>
            <w:tcW w:w="2552" w:type="dxa"/>
          </w:tcPr>
          <w:p w:rsidR="004B3377" w:rsidRPr="003E6B9A" w:rsidRDefault="004B3377" w:rsidP="00652301">
            <w:r>
              <w:t>1</w:t>
            </w:r>
            <w:r w:rsidRPr="003E6B9A">
              <w:t>/0</w:t>
            </w:r>
          </w:p>
        </w:tc>
        <w:tc>
          <w:tcPr>
            <w:tcW w:w="823" w:type="dxa"/>
          </w:tcPr>
          <w:p w:rsidR="004B3377" w:rsidRDefault="004B3377" w:rsidP="0077673A"/>
        </w:tc>
        <w:tc>
          <w:tcPr>
            <w:tcW w:w="3685" w:type="dxa"/>
            <w:vMerge/>
          </w:tcPr>
          <w:p w:rsidR="004B3377" w:rsidRDefault="004B3377" w:rsidP="0077673A">
            <w:pPr>
              <w:rPr>
                <w:noProof/>
              </w:rPr>
            </w:pPr>
          </w:p>
        </w:tc>
      </w:tr>
      <w:tr w:rsidR="004B3377" w:rsidTr="00B23CA3">
        <w:trPr>
          <w:trHeight w:val="77"/>
        </w:trPr>
        <w:tc>
          <w:tcPr>
            <w:tcW w:w="1020" w:type="dxa"/>
          </w:tcPr>
          <w:p w:rsidR="004B3377" w:rsidRDefault="004B3377" w:rsidP="0077673A"/>
        </w:tc>
        <w:tc>
          <w:tcPr>
            <w:tcW w:w="2552" w:type="dxa"/>
          </w:tcPr>
          <w:p w:rsidR="004B3377" w:rsidRPr="003E6B9A" w:rsidRDefault="004B3377" w:rsidP="00652301"/>
        </w:tc>
        <w:tc>
          <w:tcPr>
            <w:tcW w:w="823" w:type="dxa"/>
          </w:tcPr>
          <w:p w:rsidR="004B3377" w:rsidRDefault="004B3377" w:rsidP="0077673A"/>
        </w:tc>
        <w:tc>
          <w:tcPr>
            <w:tcW w:w="3685" w:type="dxa"/>
            <w:vMerge/>
          </w:tcPr>
          <w:p w:rsidR="004B3377" w:rsidRDefault="004B3377" w:rsidP="0077673A"/>
        </w:tc>
      </w:tr>
      <w:tr w:rsidR="004B3377" w:rsidTr="00F862D6">
        <w:tc>
          <w:tcPr>
            <w:tcW w:w="1020" w:type="dxa"/>
          </w:tcPr>
          <w:p w:rsidR="004B3377" w:rsidRDefault="004B3377" w:rsidP="0077673A">
            <w:r>
              <w:t>Vyřizuje</w:t>
            </w:r>
          </w:p>
        </w:tc>
        <w:tc>
          <w:tcPr>
            <w:tcW w:w="2552" w:type="dxa"/>
          </w:tcPr>
          <w:p w:rsidR="004B3377" w:rsidRPr="003E6B9A" w:rsidRDefault="004B3377" w:rsidP="00652301">
            <w:r w:rsidRPr="006F7BE2">
              <w:t>Ing. Radomíra Rečková</w:t>
            </w:r>
          </w:p>
        </w:tc>
        <w:tc>
          <w:tcPr>
            <w:tcW w:w="823" w:type="dxa"/>
          </w:tcPr>
          <w:p w:rsidR="004B3377" w:rsidRDefault="004B3377" w:rsidP="0077673A"/>
        </w:tc>
        <w:tc>
          <w:tcPr>
            <w:tcW w:w="3685" w:type="dxa"/>
            <w:vMerge/>
          </w:tcPr>
          <w:p w:rsidR="004B3377" w:rsidRDefault="004B3377" w:rsidP="0077673A"/>
        </w:tc>
      </w:tr>
      <w:tr w:rsidR="004B3377" w:rsidTr="00F862D6">
        <w:tc>
          <w:tcPr>
            <w:tcW w:w="1020" w:type="dxa"/>
          </w:tcPr>
          <w:p w:rsidR="004B3377" w:rsidRDefault="004B3377" w:rsidP="009A7568"/>
        </w:tc>
        <w:tc>
          <w:tcPr>
            <w:tcW w:w="2552" w:type="dxa"/>
          </w:tcPr>
          <w:p w:rsidR="004B3377" w:rsidRPr="003E6B9A" w:rsidRDefault="004B3377" w:rsidP="00652301"/>
        </w:tc>
        <w:tc>
          <w:tcPr>
            <w:tcW w:w="823" w:type="dxa"/>
          </w:tcPr>
          <w:p w:rsidR="004B3377" w:rsidRDefault="004B3377" w:rsidP="009A7568"/>
        </w:tc>
        <w:tc>
          <w:tcPr>
            <w:tcW w:w="3685" w:type="dxa"/>
            <w:vMerge/>
          </w:tcPr>
          <w:p w:rsidR="004B3377" w:rsidRDefault="004B3377" w:rsidP="009A7568"/>
        </w:tc>
      </w:tr>
      <w:tr w:rsidR="004B3377" w:rsidTr="00F862D6">
        <w:tc>
          <w:tcPr>
            <w:tcW w:w="1020" w:type="dxa"/>
          </w:tcPr>
          <w:p w:rsidR="004B3377" w:rsidRDefault="004B3377" w:rsidP="009A7568">
            <w:r>
              <w:t>Mobil</w:t>
            </w:r>
          </w:p>
        </w:tc>
        <w:tc>
          <w:tcPr>
            <w:tcW w:w="2552" w:type="dxa"/>
          </w:tcPr>
          <w:p w:rsidR="004B3377" w:rsidRPr="003E6B9A" w:rsidRDefault="004B3377" w:rsidP="00652301">
            <w:r>
              <w:t>+420 725 744 197</w:t>
            </w:r>
          </w:p>
        </w:tc>
        <w:tc>
          <w:tcPr>
            <w:tcW w:w="823" w:type="dxa"/>
          </w:tcPr>
          <w:p w:rsidR="004B3377" w:rsidRDefault="004B3377" w:rsidP="009A7568"/>
        </w:tc>
        <w:tc>
          <w:tcPr>
            <w:tcW w:w="3685" w:type="dxa"/>
            <w:vMerge/>
          </w:tcPr>
          <w:p w:rsidR="004B3377" w:rsidRDefault="004B3377" w:rsidP="009A7568"/>
        </w:tc>
      </w:tr>
      <w:tr w:rsidR="004B3377" w:rsidTr="00F862D6">
        <w:tc>
          <w:tcPr>
            <w:tcW w:w="1020" w:type="dxa"/>
          </w:tcPr>
          <w:p w:rsidR="004B3377" w:rsidRDefault="004B3377" w:rsidP="009A7568">
            <w:r>
              <w:t>E-mail</w:t>
            </w:r>
          </w:p>
        </w:tc>
        <w:tc>
          <w:tcPr>
            <w:tcW w:w="2552" w:type="dxa"/>
          </w:tcPr>
          <w:p w:rsidR="004B3377" w:rsidRPr="003E6B9A" w:rsidRDefault="004B3377" w:rsidP="00652301">
            <w:r w:rsidRPr="001727F5">
              <w:t>Reckova@spravazeleznic.cz</w:t>
            </w:r>
          </w:p>
        </w:tc>
        <w:tc>
          <w:tcPr>
            <w:tcW w:w="823" w:type="dxa"/>
          </w:tcPr>
          <w:p w:rsidR="004B3377" w:rsidRDefault="004B3377" w:rsidP="009A7568"/>
        </w:tc>
        <w:tc>
          <w:tcPr>
            <w:tcW w:w="3685" w:type="dxa"/>
            <w:vMerge/>
          </w:tcPr>
          <w:p w:rsidR="004B3377" w:rsidRDefault="004B3377" w:rsidP="009A7568"/>
        </w:tc>
      </w:tr>
      <w:tr w:rsidR="004B3377" w:rsidTr="00F862D6">
        <w:tc>
          <w:tcPr>
            <w:tcW w:w="1020" w:type="dxa"/>
          </w:tcPr>
          <w:p w:rsidR="004B3377" w:rsidRDefault="004B3377" w:rsidP="009A7568"/>
        </w:tc>
        <w:tc>
          <w:tcPr>
            <w:tcW w:w="2552" w:type="dxa"/>
          </w:tcPr>
          <w:p w:rsidR="004B3377" w:rsidRPr="003E6B9A" w:rsidRDefault="004B3377" w:rsidP="00652301"/>
        </w:tc>
        <w:tc>
          <w:tcPr>
            <w:tcW w:w="823" w:type="dxa"/>
          </w:tcPr>
          <w:p w:rsidR="004B3377" w:rsidRDefault="004B3377" w:rsidP="009A7568"/>
        </w:tc>
        <w:tc>
          <w:tcPr>
            <w:tcW w:w="3685" w:type="dxa"/>
          </w:tcPr>
          <w:p w:rsidR="004B3377" w:rsidRDefault="004B3377" w:rsidP="009A7568"/>
        </w:tc>
      </w:tr>
      <w:tr w:rsidR="004B3377" w:rsidTr="00F862D6">
        <w:tc>
          <w:tcPr>
            <w:tcW w:w="1020" w:type="dxa"/>
          </w:tcPr>
          <w:p w:rsidR="004B3377" w:rsidRDefault="004B3377" w:rsidP="009A7568">
            <w:r>
              <w:t>Datum</w:t>
            </w:r>
          </w:p>
        </w:tc>
        <w:tc>
          <w:tcPr>
            <w:tcW w:w="2552" w:type="dxa"/>
          </w:tcPr>
          <w:p w:rsidR="004B3377" w:rsidRPr="003E6B9A" w:rsidRDefault="004B3377" w:rsidP="00F22AA9">
            <w:bookmarkStart w:id="0" w:name="Datum"/>
            <w:r>
              <w:t>2</w:t>
            </w:r>
            <w:r w:rsidR="00F22AA9">
              <w:t>7</w:t>
            </w:r>
            <w:r>
              <w:t>. listopadu 2020</w:t>
            </w:r>
            <w:r w:rsidRPr="003E6B9A">
              <w:t xml:space="preserve"> </w:t>
            </w:r>
            <w:bookmarkEnd w:id="0"/>
          </w:p>
        </w:tc>
        <w:tc>
          <w:tcPr>
            <w:tcW w:w="823" w:type="dxa"/>
          </w:tcPr>
          <w:p w:rsidR="004B3377" w:rsidRDefault="004B3377" w:rsidP="009A7568"/>
        </w:tc>
        <w:tc>
          <w:tcPr>
            <w:tcW w:w="3685" w:type="dxa"/>
          </w:tcPr>
          <w:p w:rsidR="004B3377" w:rsidRDefault="004B3377"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5F62B6" w:rsidRDefault="005F62B6" w:rsidP="00CB7B5A">
      <w:pPr>
        <w:spacing w:after="0" w:line="240" w:lineRule="auto"/>
        <w:rPr>
          <w:rFonts w:eastAsia="Calibri" w:cs="Times New Roman"/>
          <w:lang w:eastAsia="cs-CZ"/>
        </w:rPr>
      </w:pPr>
    </w:p>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4B3377" w:rsidRPr="004B3377">
        <w:rPr>
          <w:rFonts w:eastAsia="Calibri" w:cs="Times New Roman"/>
          <w:b/>
          <w:lang w:eastAsia="cs-CZ"/>
        </w:rPr>
        <w:t xml:space="preserve">Výstavba R110kV na TNS Ostrava </w:t>
      </w:r>
      <w:proofErr w:type="spellStart"/>
      <w:r w:rsidR="004B3377" w:rsidRPr="004B3377">
        <w:rPr>
          <w:rFonts w:eastAsia="Calibri" w:cs="Times New Roman"/>
          <w:b/>
          <w:lang w:eastAsia="cs-CZ"/>
        </w:rPr>
        <w:t>Svinov</w:t>
      </w:r>
      <w:proofErr w:type="spellEnd"/>
    </w:p>
    <w:p w:rsidR="00CB7B5A" w:rsidRPr="004B3377" w:rsidRDefault="00CB7B5A" w:rsidP="00CB7B5A">
      <w:pPr>
        <w:spacing w:after="0" w:line="240" w:lineRule="auto"/>
        <w:rPr>
          <w:rFonts w:eastAsia="Calibri" w:cs="Times New Roman"/>
          <w:b/>
          <w:bCs/>
          <w:lang w:eastAsia="cs-CZ"/>
        </w:rPr>
      </w:pPr>
      <w:r w:rsidRPr="004B3377">
        <w:rPr>
          <w:rFonts w:eastAsia="Calibri" w:cs="Times New Roman"/>
          <w:lang w:eastAsia="cs-CZ"/>
        </w:rPr>
        <w:t xml:space="preserve">Vysvětlení/ změna/ doplnění zadávací dokumentace č. </w:t>
      </w:r>
      <w:r w:rsidR="004B3377">
        <w:rPr>
          <w:rFonts w:eastAsia="Calibri" w:cs="Times New Roman"/>
          <w:lang w:eastAsia="cs-CZ"/>
        </w:rPr>
        <w:t>1</w:t>
      </w:r>
      <w:r w:rsidRPr="004B3377">
        <w:rPr>
          <w:rFonts w:eastAsia="Times New Roman" w:cs="Times New Roman"/>
          <w:lang w:eastAsia="cs-CZ"/>
        </w:rPr>
        <w:fldChar w:fldCharType="begin">
          <w:ffData>
            <w:name w:val="Text1"/>
            <w:enabled/>
            <w:calcOnExit w:val="0"/>
            <w:textInput>
              <w:type w:val="date"/>
              <w:format w:val="d.M.yyyy"/>
            </w:textInput>
          </w:ffData>
        </w:fldChar>
      </w:r>
      <w:r w:rsidRPr="004B3377">
        <w:rPr>
          <w:rFonts w:eastAsia="Times New Roman" w:cs="Times New Roman"/>
          <w:lang w:eastAsia="cs-CZ"/>
        </w:rPr>
        <w:instrText xml:space="preserve"> FORMTEXT </w:instrText>
      </w:r>
      <w:r w:rsidRPr="004B3377">
        <w:rPr>
          <w:rFonts w:eastAsia="Times New Roman" w:cs="Times New Roman"/>
          <w:lang w:eastAsia="cs-CZ"/>
        </w:rPr>
      </w:r>
      <w:r w:rsidRPr="004B3377">
        <w:rPr>
          <w:rFonts w:eastAsia="Times New Roman" w:cs="Times New Roman"/>
          <w:lang w:eastAsia="cs-CZ"/>
        </w:rPr>
        <w:fldChar w:fldCharType="separate"/>
      </w:r>
      <w:r w:rsidRPr="004B3377">
        <w:rPr>
          <w:rFonts w:eastAsia="Times New Roman" w:cs="Times New Roman"/>
          <w:lang w:eastAsia="cs-CZ"/>
        </w:rPr>
        <w:t> </w:t>
      </w:r>
      <w:r w:rsidRPr="004B3377">
        <w:rPr>
          <w:rFonts w:eastAsia="Times New Roman" w:cs="Times New Roman"/>
          <w:lang w:eastAsia="cs-CZ"/>
        </w:rPr>
        <w:t> </w:t>
      </w:r>
      <w:r w:rsidRPr="004B3377">
        <w:rPr>
          <w:rFonts w:eastAsia="Times New Roman" w:cs="Times New Roman"/>
          <w:lang w:eastAsia="cs-CZ"/>
        </w:rPr>
        <w:t> </w:t>
      </w:r>
      <w:r w:rsidRPr="004B3377">
        <w:rPr>
          <w:rFonts w:eastAsia="Times New Roman" w:cs="Times New Roman"/>
          <w:lang w:eastAsia="cs-CZ"/>
        </w:rPr>
        <w:t> </w:t>
      </w:r>
      <w:r w:rsidRPr="004B3377">
        <w:rPr>
          <w:rFonts w:eastAsia="Times New Roman" w:cs="Times New Roman"/>
          <w:lang w:eastAsia="cs-CZ"/>
        </w:rPr>
        <w:t> </w:t>
      </w:r>
      <w:r w:rsidRPr="004B3377">
        <w:rPr>
          <w:rFonts w:eastAsia="Times New Roman" w:cs="Times New Roman"/>
          <w:lang w:eastAsia="cs-CZ"/>
        </w:rPr>
        <w:fldChar w:fldCharType="end"/>
      </w:r>
      <w:r w:rsidRPr="004B3377">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4B3377">
        <w:rPr>
          <w:rFonts w:eastAsia="Calibri" w:cs="Times New Roman"/>
        </w:rPr>
        <w:t xml:space="preserve">ve smyslu </w:t>
      </w:r>
      <w:r w:rsidRPr="004B3377">
        <w:rPr>
          <w:rFonts w:eastAsia="Times New Roman" w:cs="Times New Roman"/>
          <w:lang w:eastAsia="cs-CZ"/>
        </w:rPr>
        <w:t>§ 98 a § 99 zákona č. 134</w:t>
      </w:r>
      <w:r w:rsidRPr="00BD5319">
        <w:rPr>
          <w:rFonts w:eastAsia="Times New Roman" w:cs="Times New Roman"/>
          <w:lang w:eastAsia="cs-CZ"/>
        </w:rPr>
        <w:t>/2016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BD5319" w:rsidRDefault="00BD5319" w:rsidP="00BD5319">
      <w:pPr>
        <w:spacing w:after="0" w:line="240" w:lineRule="auto"/>
        <w:rPr>
          <w:rFonts w:eastAsia="Calibri" w:cs="Times New Roman"/>
          <w:b/>
          <w:lang w:eastAsia="cs-CZ"/>
        </w:rPr>
      </w:pPr>
    </w:p>
    <w:p w:rsidR="005F62B6" w:rsidRPr="00BD5319" w:rsidRDefault="005F62B6" w:rsidP="00BD5319">
      <w:pPr>
        <w:spacing w:after="0" w:line="240" w:lineRule="auto"/>
        <w:rPr>
          <w:rFonts w:eastAsia="Calibri" w:cs="Times New Roman"/>
          <w:b/>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rsidR="004761C4" w:rsidRPr="004761C4" w:rsidRDefault="004761C4" w:rsidP="004761C4">
      <w:pPr>
        <w:spacing w:after="0" w:line="240" w:lineRule="auto"/>
        <w:rPr>
          <w:rFonts w:eastAsia="Calibri" w:cs="Times New Roman"/>
          <w:lang w:eastAsia="cs-CZ"/>
        </w:rPr>
      </w:pPr>
      <w:r w:rsidRPr="004761C4">
        <w:rPr>
          <w:rFonts w:eastAsia="Calibri" w:cs="Times New Roman"/>
          <w:lang w:eastAsia="cs-CZ"/>
        </w:rPr>
        <w:t xml:space="preserve">Při oceňování jednotlivých PS/SO bylo zjištěno, že tyto objekty obsahují náklady na likvidaci </w:t>
      </w:r>
      <w:proofErr w:type="gramStart"/>
      <w:r w:rsidRPr="004761C4">
        <w:rPr>
          <w:rFonts w:eastAsia="Calibri" w:cs="Times New Roman"/>
          <w:lang w:eastAsia="cs-CZ"/>
        </w:rPr>
        <w:t>odpadů</w:t>
      </w:r>
      <w:r w:rsidR="00C457EC">
        <w:rPr>
          <w:rFonts w:eastAsia="Calibri" w:cs="Times New Roman"/>
          <w:lang w:eastAsia="cs-CZ"/>
        </w:rPr>
        <w:t xml:space="preserve">, </w:t>
      </w:r>
      <w:r w:rsidRPr="004761C4">
        <w:rPr>
          <w:rFonts w:eastAsia="Calibri" w:cs="Times New Roman"/>
          <w:lang w:eastAsia="cs-CZ"/>
        </w:rPr>
        <w:t xml:space="preserve"> jejichž</w:t>
      </w:r>
      <w:proofErr w:type="gramEnd"/>
      <w:r w:rsidRPr="004761C4">
        <w:rPr>
          <w:rFonts w:eastAsia="Calibri" w:cs="Times New Roman"/>
          <w:lang w:eastAsia="cs-CZ"/>
        </w:rPr>
        <w:t xml:space="preserve"> součty ze všech objektů se rovnají množstvím uvedeným v souhrnném objektu SO 90-90 Likvidace odpadů. Tímto je tedy množství započítáno dvakrát.</w:t>
      </w:r>
    </w:p>
    <w:p w:rsidR="00BD5319" w:rsidRDefault="004761C4" w:rsidP="004761C4">
      <w:pPr>
        <w:spacing w:after="0" w:line="240" w:lineRule="auto"/>
        <w:rPr>
          <w:rFonts w:eastAsia="Calibri" w:cs="Times New Roman"/>
          <w:lang w:eastAsia="cs-CZ"/>
        </w:rPr>
      </w:pPr>
      <w:r w:rsidRPr="004761C4">
        <w:rPr>
          <w:rFonts w:eastAsia="Calibri" w:cs="Times New Roman"/>
          <w:lang w:eastAsia="cs-CZ"/>
        </w:rPr>
        <w:t>Dotaz tedy zní, zda oceňovat náklady na odpady v jednotlivých PS/SO nebo pouze v souhrnném objektu SO 90-90.</w:t>
      </w:r>
    </w:p>
    <w:p w:rsidR="009269ED" w:rsidRPr="004761C4" w:rsidRDefault="009269ED" w:rsidP="004761C4">
      <w:pPr>
        <w:spacing w:after="0" w:line="240" w:lineRule="auto"/>
        <w:rPr>
          <w:rFonts w:eastAsia="Calibri" w:cs="Times New Roman"/>
          <w:lang w:eastAsia="cs-CZ"/>
        </w:rPr>
      </w:pPr>
    </w:p>
    <w:p w:rsidR="00BD5319" w:rsidRPr="004761C4" w:rsidRDefault="00BD5319" w:rsidP="00BD5319">
      <w:pPr>
        <w:spacing w:after="0" w:line="240" w:lineRule="auto"/>
        <w:rPr>
          <w:rFonts w:eastAsia="Calibri" w:cs="Times New Roman"/>
          <w:lang w:eastAsia="cs-CZ"/>
        </w:rPr>
      </w:pPr>
      <w:r w:rsidRPr="00BD5319">
        <w:rPr>
          <w:rFonts w:eastAsia="Calibri" w:cs="Times New Roman"/>
          <w:b/>
          <w:lang w:eastAsia="cs-CZ"/>
        </w:rPr>
        <w:t xml:space="preserve">Odpověď: </w:t>
      </w:r>
    </w:p>
    <w:p w:rsidR="00BD5319" w:rsidRDefault="00F56B5C" w:rsidP="00BD5319">
      <w:pPr>
        <w:spacing w:after="0" w:line="240" w:lineRule="auto"/>
        <w:rPr>
          <w:rFonts w:eastAsia="Calibri" w:cs="Times New Roman"/>
          <w:lang w:eastAsia="cs-CZ"/>
        </w:rPr>
      </w:pPr>
      <w:r w:rsidRPr="00F56B5C">
        <w:rPr>
          <w:rFonts w:eastAsia="Calibri" w:cs="Times New Roman"/>
          <w:lang w:eastAsia="cs-CZ"/>
        </w:rPr>
        <w:t>Náklady na dopravu a likvidaci odpadů uvedené v soupisech prací jednotlivých stavebních objektů a provozních souborů jsou pouze evidenčními položkami (mají informativní charakter). Tyto náklady uchazeč oceňovat nebude. Uchazeč tak ocení pouze odpady uvedené v soupise prací stavebního objektu SO 90-90.</w:t>
      </w:r>
    </w:p>
    <w:p w:rsidR="005F62B6" w:rsidRPr="00F56B5C" w:rsidRDefault="005F62B6" w:rsidP="00BD5319">
      <w:pPr>
        <w:spacing w:after="0" w:line="240" w:lineRule="auto"/>
        <w:rPr>
          <w:rFonts w:eastAsia="Calibri" w:cs="Times New Roman"/>
          <w:lang w:eastAsia="cs-CZ"/>
        </w:rPr>
      </w:pPr>
    </w:p>
    <w:p w:rsidR="004761C4" w:rsidRPr="004761C4" w:rsidRDefault="004761C4" w:rsidP="00BD5319">
      <w:pPr>
        <w:spacing w:after="0" w:line="240" w:lineRule="auto"/>
        <w:rPr>
          <w:rFonts w:eastAsia="Calibri" w:cs="Times New Roman"/>
          <w:b/>
          <w:color w:val="FF0000"/>
          <w:lang w:eastAsia="cs-CZ"/>
        </w:rPr>
      </w:pPr>
    </w:p>
    <w:p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2:</w:t>
      </w:r>
    </w:p>
    <w:p w:rsidR="004761C4" w:rsidRPr="004761C4" w:rsidRDefault="004761C4" w:rsidP="004761C4">
      <w:pPr>
        <w:spacing w:after="0" w:line="240" w:lineRule="auto"/>
        <w:rPr>
          <w:rFonts w:eastAsia="Calibri" w:cs="Times New Roman"/>
          <w:lang w:eastAsia="cs-CZ"/>
        </w:rPr>
      </w:pPr>
      <w:r w:rsidRPr="004761C4">
        <w:rPr>
          <w:rFonts w:eastAsia="Calibri" w:cs="Times New Roman"/>
          <w:lang w:eastAsia="cs-CZ"/>
        </w:rPr>
        <w:t>PS 03-14-03 Přenosový systém</w:t>
      </w:r>
    </w:p>
    <w:p w:rsidR="004761C4" w:rsidRPr="004761C4" w:rsidRDefault="004761C4" w:rsidP="004761C4">
      <w:pPr>
        <w:spacing w:after="0" w:line="240" w:lineRule="auto"/>
        <w:rPr>
          <w:rFonts w:eastAsia="Calibri" w:cs="Times New Roman"/>
          <w:lang w:eastAsia="cs-CZ"/>
        </w:rPr>
      </w:pPr>
      <w:r w:rsidRPr="004761C4">
        <w:rPr>
          <w:rFonts w:eastAsia="Calibri" w:cs="Times New Roman"/>
          <w:lang w:eastAsia="cs-CZ"/>
        </w:rPr>
        <w:t xml:space="preserve">Ve VV je uvedena položka </w:t>
      </w:r>
      <w:proofErr w:type="spellStart"/>
      <w:r w:rsidRPr="004761C4">
        <w:rPr>
          <w:rFonts w:eastAsia="Calibri" w:cs="Times New Roman"/>
          <w:lang w:eastAsia="cs-CZ"/>
        </w:rPr>
        <w:t>poř</w:t>
      </w:r>
      <w:proofErr w:type="spellEnd"/>
      <w:r w:rsidRPr="004761C4">
        <w:rPr>
          <w:rFonts w:eastAsia="Calibri" w:cs="Times New Roman"/>
          <w:lang w:eastAsia="cs-CZ"/>
        </w:rPr>
        <w:t>. č. 20 „75M941 - DATOVÁ INFRASTRUKTURA LAN, FIREWALL PRO KONCOVÉ LOKALITY - PROPUSTNOST 150MBPS, 8X10/100 + 25 IPSEC VPN + 3DES/AES LICENSE“.</w:t>
      </w:r>
    </w:p>
    <w:p w:rsidR="004761C4" w:rsidRPr="004761C4" w:rsidRDefault="004761C4" w:rsidP="004761C4">
      <w:pPr>
        <w:spacing w:after="0" w:line="240" w:lineRule="auto"/>
        <w:rPr>
          <w:rFonts w:eastAsia="Calibri" w:cs="Times New Roman"/>
          <w:lang w:eastAsia="cs-CZ"/>
        </w:rPr>
      </w:pPr>
      <w:r w:rsidRPr="004761C4">
        <w:rPr>
          <w:rFonts w:eastAsia="Calibri" w:cs="Times New Roman"/>
          <w:lang w:eastAsia="cs-CZ"/>
        </w:rPr>
        <w:t>Tato položka není ani na schématech ani popsaná v Technické zprávě.</w:t>
      </w:r>
    </w:p>
    <w:p w:rsidR="004761C4" w:rsidRPr="004761C4" w:rsidRDefault="004761C4" w:rsidP="004761C4">
      <w:pPr>
        <w:spacing w:after="0" w:line="240" w:lineRule="auto"/>
        <w:rPr>
          <w:rFonts w:eastAsia="Calibri" w:cs="Times New Roman"/>
          <w:lang w:eastAsia="cs-CZ"/>
        </w:rPr>
      </w:pPr>
      <w:r w:rsidRPr="004761C4">
        <w:rPr>
          <w:rFonts w:eastAsia="Calibri" w:cs="Times New Roman"/>
          <w:lang w:eastAsia="cs-CZ"/>
        </w:rPr>
        <w:t>Je tento FW pro stavbu TNS opravdu potřeba?</w:t>
      </w:r>
    </w:p>
    <w:p w:rsidR="00BD5319" w:rsidRDefault="004761C4" w:rsidP="004761C4">
      <w:pPr>
        <w:spacing w:after="0" w:line="240" w:lineRule="auto"/>
        <w:rPr>
          <w:rFonts w:eastAsia="Calibri" w:cs="Times New Roman"/>
          <w:lang w:eastAsia="cs-CZ"/>
        </w:rPr>
      </w:pPr>
      <w:r w:rsidRPr="004761C4">
        <w:rPr>
          <w:rFonts w:eastAsia="Calibri" w:cs="Times New Roman"/>
          <w:lang w:eastAsia="cs-CZ"/>
        </w:rPr>
        <w:t>Jaké bude jeho využití a kam bude zapojen?</w:t>
      </w:r>
    </w:p>
    <w:p w:rsidR="009269ED" w:rsidRPr="004761C4" w:rsidRDefault="009269ED" w:rsidP="004761C4">
      <w:pPr>
        <w:spacing w:after="0" w:line="240" w:lineRule="auto"/>
        <w:rPr>
          <w:rFonts w:eastAsia="Calibri" w:cs="Times New Roman"/>
          <w:lang w:eastAsia="cs-CZ"/>
        </w:rPr>
      </w:pPr>
    </w:p>
    <w:p w:rsidR="00BD5319" w:rsidRPr="00BD5319" w:rsidRDefault="00BD5319" w:rsidP="00BD5319">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rsidR="005F62B6" w:rsidRDefault="006C65B5" w:rsidP="00BD5319">
      <w:pPr>
        <w:spacing w:after="0" w:line="240" w:lineRule="auto"/>
        <w:rPr>
          <w:rFonts w:eastAsia="Calibri" w:cs="Times New Roman"/>
          <w:color w:val="FF0000"/>
          <w:lang w:eastAsia="cs-CZ"/>
        </w:rPr>
      </w:pPr>
      <w:r w:rsidRPr="006C65B5">
        <w:rPr>
          <w:rFonts w:eastAsia="Calibri" w:cs="Times New Roman"/>
          <w:lang w:eastAsia="cs-CZ"/>
        </w:rPr>
        <w:t>Na základě dotazu uchazeče zadavatel prověřil položky uvedené v soupisu prací PS 03-14-03 „Přenosový systém“ a zjistil, že v uvedeném provozním souboru byly nesprávně uvedeny Položky č. 20 (75M941) a č. 21 (75M94X). Obě položky byly ze soupisu prací vypuštěny.</w:t>
      </w:r>
    </w:p>
    <w:p w:rsidR="0042745D" w:rsidRDefault="0042745D" w:rsidP="0042745D">
      <w:pPr>
        <w:spacing w:after="0" w:line="240" w:lineRule="auto"/>
        <w:rPr>
          <w:rFonts w:eastAsia="Calibri" w:cs="Times New Roman"/>
          <w:b/>
          <w:lang w:eastAsia="cs-CZ"/>
        </w:rPr>
      </w:pPr>
    </w:p>
    <w:p w:rsidR="0042745D" w:rsidRPr="00311C0D" w:rsidRDefault="0042745D" w:rsidP="0042745D">
      <w:pPr>
        <w:spacing w:after="0" w:line="240" w:lineRule="auto"/>
        <w:rPr>
          <w:rFonts w:asciiTheme="majorHAnsi" w:eastAsia="Calibri" w:hAnsiTheme="majorHAnsi" w:cs="Times New Roman"/>
          <w:b/>
          <w:lang w:eastAsia="cs-CZ"/>
        </w:rPr>
      </w:pPr>
      <w:r w:rsidRPr="00311C0D">
        <w:rPr>
          <w:rFonts w:asciiTheme="majorHAnsi" w:eastAsia="Calibri" w:hAnsiTheme="majorHAnsi" w:cs="Times New Roman"/>
          <w:b/>
          <w:lang w:eastAsia="cs-CZ"/>
        </w:rPr>
        <w:t>Dotaz č. 3:</w:t>
      </w:r>
    </w:p>
    <w:p w:rsidR="0042745D" w:rsidRPr="00311C0D" w:rsidRDefault="0042745D" w:rsidP="009269ED">
      <w:pPr>
        <w:spacing w:after="0"/>
        <w:rPr>
          <w:rFonts w:asciiTheme="majorHAnsi" w:hAnsiTheme="majorHAnsi" w:cs="Arial"/>
        </w:rPr>
      </w:pPr>
      <w:r w:rsidRPr="00311C0D">
        <w:rPr>
          <w:rFonts w:asciiTheme="majorHAnsi" w:hAnsiTheme="majorHAnsi" w:cs="Arial"/>
        </w:rPr>
        <w:t xml:space="preserve">Zadavatel v čl. 8.10 dokumentu s označením Díl 1 Požadavky a podmínky pro zpracování nabídky, Část 2 Pokyny pro dodavatele (dále jen </w:t>
      </w:r>
      <w:r w:rsidRPr="00311C0D">
        <w:rPr>
          <w:rFonts w:asciiTheme="majorHAnsi" w:hAnsiTheme="majorHAnsi" w:cs="Arial"/>
          <w:b/>
          <w:bCs/>
        </w:rPr>
        <w:t>„ZD</w:t>
      </w:r>
      <w:r w:rsidRPr="00311C0D">
        <w:rPr>
          <w:rFonts w:asciiTheme="majorHAnsi" w:hAnsiTheme="majorHAnsi" w:cs="Arial"/>
          <w:b/>
          <w:bCs/>
          <w:i/>
          <w:iCs/>
        </w:rPr>
        <w:t>“</w:t>
      </w:r>
      <w:r w:rsidRPr="00311C0D">
        <w:rPr>
          <w:rFonts w:asciiTheme="majorHAnsi" w:hAnsiTheme="majorHAnsi" w:cs="Arial"/>
        </w:rPr>
        <w:t>) uvádí, že dodavatel není povinen oznámit zadavateli změnu v kvalifikaci mj. v případě, pokud „</w:t>
      </w:r>
      <w:r w:rsidRPr="00311C0D">
        <w:rPr>
          <w:rFonts w:asciiTheme="majorHAnsi" w:hAnsiTheme="majorHAnsi" w:cs="Arial"/>
          <w:i/>
          <w:iCs/>
        </w:rPr>
        <w:t>nedošlo k ovlivnění kritérií nabídek</w:t>
      </w:r>
      <w:r w:rsidRPr="00311C0D">
        <w:rPr>
          <w:rFonts w:asciiTheme="majorHAnsi" w:hAnsiTheme="majorHAnsi" w:cs="Arial"/>
        </w:rPr>
        <w:t>“ (písmeno b) výčtu obsaženého v předmětném článku ZD). Z této formulace však není jasné, co konkrétně má zadavatel uvedením spojení „kritéria nabídek“ na mysli. Jde zřejmě o neúplné převzetí § 88 odst. 1 písm. b) ZZVZ, který zní: „</w:t>
      </w:r>
      <w:r w:rsidRPr="00311C0D">
        <w:rPr>
          <w:rFonts w:asciiTheme="majorHAnsi" w:hAnsiTheme="majorHAnsi" w:cs="Arial"/>
          <w:i/>
          <w:iCs/>
        </w:rPr>
        <w:t>nedošlo k ovlivnění kritérií pro snížení počtu účastníků zadávacího řízení nebo nabídek</w:t>
      </w:r>
      <w:r w:rsidRPr="00311C0D">
        <w:rPr>
          <w:rFonts w:asciiTheme="majorHAnsi" w:hAnsiTheme="majorHAnsi" w:cs="Arial"/>
        </w:rPr>
        <w:t xml:space="preserve">“. Jelikož však zadávací dokumentace nestanoví kritéria pro snížení počtu účastníků zadávacího řízení nebo nabídek, má tazatel má </w:t>
      </w:r>
      <w:r w:rsidRPr="00311C0D">
        <w:rPr>
          <w:rFonts w:asciiTheme="majorHAnsi" w:hAnsiTheme="majorHAnsi" w:cs="Arial"/>
        </w:rPr>
        <w:lastRenderedPageBreak/>
        <w:t>za to, že předmětné ustanovení v ZD je nesmyslné a pro dodavatele může být matoucí. Přitom je patrné, že se nemělo jednat o podmínku neovlivnění kritérií hodnocení nabídek, neboť ta je uvedena ve výčtu v čl. 8.10 ZD pod písmenem c). Tazatel v této souvislosti připomíná, že z konstantní rozhodovací praxe Úřadu pro ochranu hospodářské soutěže (dále jen „</w:t>
      </w:r>
      <w:r w:rsidRPr="00311C0D">
        <w:rPr>
          <w:rFonts w:asciiTheme="majorHAnsi" w:hAnsiTheme="majorHAnsi" w:cs="Arial"/>
          <w:b/>
          <w:bCs/>
        </w:rPr>
        <w:t>ÚOHS</w:t>
      </w:r>
      <w:r w:rsidRPr="00311C0D">
        <w:rPr>
          <w:rFonts w:asciiTheme="majorHAnsi" w:hAnsiTheme="majorHAnsi" w:cs="Arial"/>
        </w:rPr>
        <w:t>“) plyne, že zadávací podmínky je zadavatel povinen formulovat jasně, srozumitelně a jednoznačně, tedy takovým způsobem, aby jejich výklad byl zcela jednoznačný a nebyl dán prostor pro pochybnosti a rozdílnou interpretaci.</w:t>
      </w:r>
      <w:r w:rsidRPr="00311C0D">
        <w:rPr>
          <w:rFonts w:asciiTheme="majorHAnsi" w:hAnsiTheme="majorHAnsi" w:cs="Arial"/>
          <w:vertAlign w:val="superscript"/>
        </w:rPr>
        <w:footnoteReference w:id="1"/>
      </w:r>
    </w:p>
    <w:p w:rsidR="00C44761" w:rsidRDefault="0042745D" w:rsidP="0042745D">
      <w:pPr>
        <w:rPr>
          <w:rFonts w:asciiTheme="majorHAnsi" w:hAnsiTheme="majorHAnsi" w:cs="Arial"/>
          <w:b/>
          <w:bCs/>
        </w:rPr>
      </w:pPr>
      <w:r w:rsidRPr="00311C0D">
        <w:rPr>
          <w:rFonts w:asciiTheme="majorHAnsi" w:hAnsiTheme="majorHAnsi" w:cs="Arial"/>
          <w:b/>
          <w:bCs/>
        </w:rPr>
        <w:t>Přistoupí zadavatel s ohledem na svou povinnost formulovat zadávací podmínky jasně, srozumitelně a jednoznačně k úpravě čl. 8.10 ZD tak, že ve výčtu uvedeném v tomto článku ZD vypustí písmeno b)?</w:t>
      </w:r>
    </w:p>
    <w:p w:rsidR="00C44761" w:rsidRPr="009269ED" w:rsidRDefault="00C44761" w:rsidP="00C44761">
      <w:pPr>
        <w:spacing w:after="200" w:line="276" w:lineRule="auto"/>
        <w:contextualSpacing/>
        <w:rPr>
          <w:rFonts w:eastAsia="Calibri" w:cs="Times New Roman"/>
          <w:b/>
          <w:lang w:eastAsia="cs-CZ"/>
        </w:rPr>
      </w:pPr>
      <w:r w:rsidRPr="009269ED">
        <w:rPr>
          <w:rFonts w:eastAsia="Calibri" w:cs="Times New Roman"/>
          <w:b/>
          <w:lang w:eastAsia="cs-CZ"/>
        </w:rPr>
        <w:t xml:space="preserve">Odpověď: </w:t>
      </w:r>
    </w:p>
    <w:p w:rsidR="00C44761" w:rsidRPr="009269ED" w:rsidRDefault="00C44761" w:rsidP="00C44761">
      <w:pPr>
        <w:spacing w:after="200" w:line="276" w:lineRule="auto"/>
        <w:contextualSpacing/>
        <w:jc w:val="both"/>
        <w:rPr>
          <w:rFonts w:eastAsia="Calibri" w:cs="Times New Roman"/>
          <w:lang w:eastAsia="cs-CZ"/>
        </w:rPr>
      </w:pPr>
      <w:r w:rsidRPr="009269ED">
        <w:rPr>
          <w:rFonts w:eastAsia="Calibri" w:cs="Times New Roman"/>
          <w:lang w:eastAsia="cs-CZ"/>
        </w:rPr>
        <w:t>K dotazu zadavatel uvádí, že v zadávací dokumentaci bohužel došlo k nepřesné citaci ustanovení § 88 odst. 1 písm. b) ZZVZ. S ohledem na skutečnost, že zadávací podmínky předmětné veřejné zakázky nestanoví pravidla pro snížení počtu účastníků zadávacího řízení nebo snížení počtu nabídek a pravidlo stanovené v § 88 odst. 1 písm. b) se tak v daném případě nepoužije, rozhodl se Zadavatel vypustit písmeno b) s textem „nedošlo k ovlivnění kritérií nabídek“ z čl. 8. 10 Pokynů pro dodavatele.</w:t>
      </w:r>
    </w:p>
    <w:p w:rsidR="00C44761" w:rsidRPr="009269ED" w:rsidRDefault="00C44761" w:rsidP="00C44761">
      <w:pPr>
        <w:spacing w:after="200" w:line="276" w:lineRule="auto"/>
        <w:contextualSpacing/>
        <w:rPr>
          <w:rFonts w:eastAsia="Calibri" w:cs="Times New Roman"/>
          <w:lang w:eastAsia="cs-CZ"/>
        </w:rPr>
      </w:pPr>
    </w:p>
    <w:p w:rsidR="00C44761" w:rsidRPr="009269ED" w:rsidRDefault="00C44761" w:rsidP="00C44761">
      <w:pPr>
        <w:spacing w:after="200" w:line="276" w:lineRule="auto"/>
        <w:contextualSpacing/>
        <w:rPr>
          <w:rFonts w:eastAsia="Calibri" w:cs="Times New Roman"/>
          <w:lang w:eastAsia="cs-CZ"/>
        </w:rPr>
      </w:pPr>
      <w:r w:rsidRPr="009269ED">
        <w:rPr>
          <w:rFonts w:eastAsia="Calibri" w:cs="Times New Roman"/>
          <w:lang w:eastAsia="cs-CZ"/>
        </w:rPr>
        <w:t xml:space="preserve">Nově zní čl. 8.10. Pokynů pro dodavatele takto: </w:t>
      </w:r>
    </w:p>
    <w:p w:rsidR="00C44761" w:rsidRPr="009269ED" w:rsidRDefault="00C44761" w:rsidP="00C44761">
      <w:pPr>
        <w:spacing w:after="200" w:line="276" w:lineRule="auto"/>
        <w:contextualSpacing/>
        <w:rPr>
          <w:rFonts w:eastAsia="Calibri" w:cs="Times New Roman"/>
          <w:lang w:eastAsia="cs-CZ"/>
        </w:rPr>
      </w:pPr>
    </w:p>
    <w:p w:rsidR="00C44761" w:rsidRPr="009269ED" w:rsidRDefault="00C44761" w:rsidP="00C44761">
      <w:pPr>
        <w:spacing w:after="200" w:line="276" w:lineRule="auto"/>
        <w:contextualSpacing/>
        <w:rPr>
          <w:rFonts w:eastAsia="Calibri" w:cs="Times New Roman"/>
          <w:i/>
          <w:lang w:eastAsia="cs-CZ"/>
        </w:rPr>
      </w:pPr>
      <w:r w:rsidRPr="009269ED">
        <w:rPr>
          <w:rFonts w:eastAsia="Calibri" w:cs="Times New Roman"/>
          <w:i/>
          <w:lang w:eastAsia="cs-CZ"/>
        </w:rPr>
        <w:t>8.10</w:t>
      </w:r>
      <w:r w:rsidRPr="009269ED">
        <w:rPr>
          <w:rFonts w:eastAsia="Calibri" w:cs="Times New Roman"/>
          <w:i/>
          <w:lang w:eastAsia="cs-CZ"/>
        </w:rPr>
        <w:tab/>
        <w:t>Změny v kvalifikaci dodavatele</w:t>
      </w:r>
    </w:p>
    <w:p w:rsidR="00C44761" w:rsidRPr="009269ED" w:rsidRDefault="00C44761" w:rsidP="00C44761">
      <w:pPr>
        <w:spacing w:after="200" w:line="276" w:lineRule="auto"/>
        <w:contextualSpacing/>
        <w:rPr>
          <w:rFonts w:eastAsia="Calibri" w:cs="Times New Roman"/>
          <w:i/>
          <w:lang w:eastAsia="cs-CZ"/>
        </w:rPr>
      </w:pPr>
      <w:r w:rsidRPr="009269ED">
        <w:rPr>
          <w:rFonts w:eastAsia="Calibri" w:cs="Times New Roman"/>
          <w:i/>
          <w:lang w:eastAsia="cs-CZ"/>
        </w:rP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rsidR="00C44761" w:rsidRPr="009269ED" w:rsidRDefault="00C44761" w:rsidP="00C44761">
      <w:pPr>
        <w:spacing w:after="200" w:line="276" w:lineRule="auto"/>
        <w:contextualSpacing/>
        <w:rPr>
          <w:rFonts w:eastAsia="Calibri" w:cs="Times New Roman"/>
          <w:i/>
          <w:lang w:eastAsia="cs-CZ"/>
        </w:rPr>
      </w:pPr>
    </w:p>
    <w:p w:rsidR="00C44761" w:rsidRPr="009269ED" w:rsidRDefault="00C44761" w:rsidP="00C44761">
      <w:pPr>
        <w:spacing w:after="200" w:line="276" w:lineRule="auto"/>
        <w:contextualSpacing/>
        <w:rPr>
          <w:rFonts w:eastAsia="Calibri" w:cs="Times New Roman"/>
          <w:i/>
          <w:lang w:eastAsia="cs-CZ"/>
        </w:rPr>
      </w:pPr>
      <w:r w:rsidRPr="009269ED">
        <w:rPr>
          <w:rFonts w:eastAsia="Calibri" w:cs="Times New Roman"/>
          <w:i/>
          <w:lang w:eastAsia="cs-CZ"/>
        </w:rPr>
        <w:t>a) podmínky kvalifikace jsou nadále splněny a</w:t>
      </w:r>
    </w:p>
    <w:p w:rsidR="00C44761" w:rsidRPr="009269ED" w:rsidRDefault="00C44761" w:rsidP="00C44761">
      <w:pPr>
        <w:spacing w:after="200" w:line="276" w:lineRule="auto"/>
        <w:contextualSpacing/>
        <w:rPr>
          <w:rFonts w:eastAsia="Calibri" w:cs="Times New Roman"/>
          <w:i/>
          <w:lang w:eastAsia="cs-CZ"/>
        </w:rPr>
      </w:pPr>
      <w:r w:rsidRPr="009269ED">
        <w:rPr>
          <w:rFonts w:eastAsia="Calibri" w:cs="Times New Roman"/>
          <w:i/>
          <w:lang w:eastAsia="cs-CZ"/>
        </w:rPr>
        <w:t>b) nedošlo k ovlivnění kritérií hodnocení nabídek.</w:t>
      </w:r>
    </w:p>
    <w:p w:rsidR="00C44761" w:rsidRPr="009269ED" w:rsidRDefault="00C44761" w:rsidP="00C44761">
      <w:pPr>
        <w:spacing w:after="200" w:line="276" w:lineRule="auto"/>
        <w:contextualSpacing/>
        <w:rPr>
          <w:rFonts w:eastAsia="Calibri" w:cs="Times New Roman"/>
          <w:i/>
          <w:lang w:eastAsia="cs-CZ"/>
        </w:rPr>
      </w:pPr>
    </w:p>
    <w:p w:rsidR="00C44761" w:rsidRDefault="00C44761" w:rsidP="00C44761">
      <w:pPr>
        <w:spacing w:after="200" w:line="276" w:lineRule="auto"/>
        <w:contextualSpacing/>
        <w:rPr>
          <w:rFonts w:eastAsia="Calibri" w:cs="Times New Roman"/>
          <w:i/>
          <w:lang w:eastAsia="cs-CZ"/>
        </w:rPr>
      </w:pPr>
      <w:r w:rsidRPr="009269ED">
        <w:rPr>
          <w:rFonts w:eastAsia="Calibri" w:cs="Times New Roman"/>
          <w:i/>
          <w:lang w:eastAsia="cs-CZ"/>
        </w:rPr>
        <w:t>Dozví-li se zadavatel, že dodavatel nesplnil povinnost uvedenou v tomto článku, zadavatel jej bezodkladně ze zadávacího řízení vyloučí.</w:t>
      </w:r>
    </w:p>
    <w:p w:rsidR="005F62B6" w:rsidRPr="009269ED" w:rsidRDefault="005F62B6" w:rsidP="00C44761">
      <w:pPr>
        <w:spacing w:after="200" w:line="276" w:lineRule="auto"/>
        <w:contextualSpacing/>
        <w:rPr>
          <w:rFonts w:eastAsia="Calibri" w:cs="Times New Roman"/>
          <w:i/>
          <w:lang w:eastAsia="cs-CZ"/>
        </w:rPr>
      </w:pPr>
    </w:p>
    <w:p w:rsidR="00C44761" w:rsidRDefault="00C44761" w:rsidP="00C44761">
      <w:pPr>
        <w:spacing w:after="200" w:line="276" w:lineRule="auto"/>
        <w:contextualSpacing/>
        <w:rPr>
          <w:rFonts w:eastAsia="Calibri" w:cs="Times New Roman"/>
          <w:b/>
          <w:lang w:eastAsia="cs-CZ"/>
        </w:rPr>
      </w:pPr>
    </w:p>
    <w:p w:rsidR="009269ED" w:rsidRPr="00311C0D" w:rsidRDefault="009269ED" w:rsidP="009269ED">
      <w:pPr>
        <w:spacing w:after="0" w:line="240" w:lineRule="auto"/>
        <w:rPr>
          <w:rFonts w:asciiTheme="majorHAnsi" w:eastAsia="Calibri" w:hAnsiTheme="majorHAnsi" w:cs="Times New Roman"/>
          <w:b/>
          <w:lang w:eastAsia="cs-CZ"/>
        </w:rPr>
      </w:pPr>
      <w:r w:rsidRPr="00311C0D">
        <w:rPr>
          <w:rFonts w:asciiTheme="majorHAnsi" w:eastAsia="Calibri" w:hAnsiTheme="majorHAnsi" w:cs="Times New Roman"/>
          <w:b/>
          <w:lang w:eastAsia="cs-CZ"/>
        </w:rPr>
        <w:t xml:space="preserve">Dotaz č. </w:t>
      </w:r>
      <w:r>
        <w:rPr>
          <w:rFonts w:asciiTheme="majorHAnsi" w:eastAsia="Calibri" w:hAnsiTheme="majorHAnsi" w:cs="Times New Roman"/>
          <w:b/>
          <w:lang w:eastAsia="cs-CZ"/>
        </w:rPr>
        <w:t>4</w:t>
      </w:r>
      <w:r w:rsidRPr="00311C0D">
        <w:rPr>
          <w:rFonts w:asciiTheme="majorHAnsi" w:eastAsia="Calibri" w:hAnsiTheme="majorHAnsi" w:cs="Times New Roman"/>
          <w:b/>
          <w:lang w:eastAsia="cs-CZ"/>
        </w:rPr>
        <w:t>:</w:t>
      </w:r>
    </w:p>
    <w:p w:rsidR="0042745D" w:rsidRPr="00311C0D" w:rsidRDefault="0042745D" w:rsidP="0042745D">
      <w:pPr>
        <w:rPr>
          <w:rFonts w:asciiTheme="majorHAnsi" w:hAnsiTheme="majorHAnsi" w:cs="Arial"/>
        </w:rPr>
      </w:pPr>
      <w:r w:rsidRPr="00311C0D">
        <w:rPr>
          <w:rFonts w:asciiTheme="majorHAnsi" w:hAnsiTheme="majorHAnsi" w:cs="Arial"/>
        </w:rPr>
        <w:t>Zadavatel v čl. 9.1 ZD, uvedl, že součástí nabídky dodavatelů musí být mj. specifikace typu zařízení elektrotechniky a energetiky, které bude dodavatelem určeno k použití pro plnění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(dále jen „</w:t>
      </w:r>
      <w:r w:rsidRPr="00311C0D">
        <w:rPr>
          <w:rFonts w:asciiTheme="majorHAnsi" w:hAnsiTheme="majorHAnsi" w:cs="Arial"/>
          <w:b/>
          <w:bCs/>
        </w:rPr>
        <w:t>Směrnice SŽDC</w:t>
      </w:r>
      <w:r w:rsidRPr="00311C0D">
        <w:rPr>
          <w:rFonts w:asciiTheme="majorHAnsi" w:hAnsiTheme="majorHAnsi" w:cs="Arial"/>
        </w:rPr>
        <w:t xml:space="preserve">“). Zadavatel dále uvedl, že za podmínky, kdy dodavatel nebude současně i výrobcem nebo dodavatelem takto určeného zařízení elektrotechniky a energetiky, předloží dodavatel smlouvu uzavřenou s výrobcem nebo dodavatelem tohoto zařízení elektrotechniky a energetiky, kterou prokáže, že bude mít toto zařízení k jeho použití pro plnění veřejné zakázky k dispozici a že bude mít zajištěnu i jeho odbornou montáž, případně bude smlouva obsahovat souhlas výrobce nebo dodavatele tohoto zařízení elektrotechniky a energetiky s tím, že je dodavatel sám schopen toto zařízení odborně sestavit a namontovat. Zadavatel uvedl, že specifikace typu, případně smlouva s výrobcem nebo dodavatelem, bude požadována pro následující zařízení: </w:t>
      </w:r>
      <w:r w:rsidRPr="00311C0D">
        <w:rPr>
          <w:rFonts w:asciiTheme="majorHAnsi" w:hAnsiTheme="majorHAnsi" w:cs="Arial"/>
          <w:i/>
          <w:iCs/>
        </w:rPr>
        <w:t>technologie rozvodny 110kV, transformátory 110/22kV</w:t>
      </w:r>
      <w:r w:rsidRPr="00311C0D">
        <w:rPr>
          <w:rFonts w:asciiTheme="majorHAnsi" w:hAnsiTheme="majorHAnsi" w:cs="Arial"/>
        </w:rPr>
        <w:t xml:space="preserve"> (dále jen „</w:t>
      </w:r>
      <w:r w:rsidRPr="00311C0D">
        <w:rPr>
          <w:rFonts w:asciiTheme="majorHAnsi" w:hAnsiTheme="majorHAnsi" w:cs="Arial"/>
          <w:b/>
          <w:bCs/>
        </w:rPr>
        <w:t>Zařízení</w:t>
      </w:r>
      <w:r w:rsidRPr="00311C0D">
        <w:rPr>
          <w:rFonts w:asciiTheme="majorHAnsi" w:hAnsiTheme="majorHAnsi" w:cs="Arial"/>
        </w:rPr>
        <w:t>“).</w:t>
      </w:r>
    </w:p>
    <w:p w:rsidR="0042745D" w:rsidRPr="00642161" w:rsidRDefault="0042745D" w:rsidP="0042745D">
      <w:pPr>
        <w:pStyle w:val="Odstavecseseznamem"/>
        <w:ind w:left="0"/>
        <w:contextualSpacing w:val="0"/>
        <w:rPr>
          <w:rFonts w:asciiTheme="majorHAnsi" w:hAnsiTheme="majorHAnsi" w:cs="Arial"/>
          <w:szCs w:val="22"/>
        </w:rPr>
      </w:pPr>
      <w:r w:rsidRPr="00642161">
        <w:rPr>
          <w:rFonts w:asciiTheme="majorHAnsi" w:hAnsiTheme="majorHAnsi" w:cs="Arial"/>
          <w:szCs w:val="22"/>
        </w:rPr>
        <w:t xml:space="preserve">Z čl. 3.1 Směrnice SŽDC vyplývá, že na železniční dopravně cestě (ŽDC) lze uvést do provozu v rámci investičních akcí, údržby, oprav a rekonstrukcí pouze výrobky zařízení elektrotechniky </w:t>
      </w:r>
      <w:r w:rsidRPr="00642161">
        <w:rPr>
          <w:rFonts w:asciiTheme="majorHAnsi" w:hAnsiTheme="majorHAnsi" w:cs="Arial"/>
          <w:szCs w:val="22"/>
        </w:rPr>
        <w:lastRenderedPageBreak/>
        <w:t>a energetiky, sdělovacího zařízení a zabezpečovacího zařízení, pro které zadavatel v následujících postupových krocích:</w:t>
      </w:r>
    </w:p>
    <w:p w:rsidR="0042745D" w:rsidRPr="00642161" w:rsidRDefault="0042745D" w:rsidP="0042745D">
      <w:pPr>
        <w:pStyle w:val="Odstavecseseznamem"/>
        <w:numPr>
          <w:ilvl w:val="0"/>
          <w:numId w:val="7"/>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 xml:space="preserve">schválil Prozatímní technické podmínky výrobku (PTPV), </w:t>
      </w:r>
    </w:p>
    <w:p w:rsidR="0042745D" w:rsidRPr="00642161" w:rsidRDefault="0042745D" w:rsidP="0042745D">
      <w:pPr>
        <w:pStyle w:val="Odstavecseseznamem"/>
        <w:numPr>
          <w:ilvl w:val="0"/>
          <w:numId w:val="7"/>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vydal Souhlas s ověřovacím provozem výrobku na ŽDC,</w:t>
      </w:r>
    </w:p>
    <w:p w:rsidR="0042745D" w:rsidRPr="00642161" w:rsidRDefault="0042745D" w:rsidP="0042745D">
      <w:pPr>
        <w:pStyle w:val="Odstavecseseznamem"/>
        <w:numPr>
          <w:ilvl w:val="0"/>
          <w:numId w:val="7"/>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schválil definitivní Technické podmínky výrobku (TPV),</w:t>
      </w:r>
    </w:p>
    <w:p w:rsidR="0042745D" w:rsidRPr="00642161" w:rsidRDefault="0042745D" w:rsidP="0042745D">
      <w:pPr>
        <w:pStyle w:val="Odstavecseseznamem"/>
        <w:numPr>
          <w:ilvl w:val="0"/>
          <w:numId w:val="7"/>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vydal Souhlas s použitím výrobku na ŽDC ve vlastnictví státu, tj. České republiky.</w:t>
      </w:r>
    </w:p>
    <w:p w:rsidR="0042745D" w:rsidRPr="00642161" w:rsidRDefault="0042745D" w:rsidP="0042745D">
      <w:pPr>
        <w:pStyle w:val="Odstavecseseznamem"/>
        <w:ind w:left="0"/>
        <w:contextualSpacing w:val="0"/>
        <w:rPr>
          <w:rFonts w:asciiTheme="majorHAnsi" w:hAnsiTheme="majorHAnsi" w:cs="Arial"/>
          <w:szCs w:val="22"/>
        </w:rPr>
      </w:pPr>
      <w:r w:rsidRPr="00642161">
        <w:rPr>
          <w:rFonts w:asciiTheme="majorHAnsi" w:hAnsiTheme="majorHAnsi" w:cs="Arial"/>
          <w:szCs w:val="22"/>
        </w:rPr>
        <w:t xml:space="preserve">Podle čl. 3.9 Směrnice SŽDC dále platí, že odmítnuty musí být ty nabídky v obchodní soutěži, které obsahují výrobky, pro něž: </w:t>
      </w:r>
    </w:p>
    <w:p w:rsidR="0042745D" w:rsidRPr="00642161" w:rsidRDefault="0042745D" w:rsidP="0042745D">
      <w:pPr>
        <w:pStyle w:val="Odstavecseseznamem"/>
        <w:numPr>
          <w:ilvl w:val="0"/>
          <w:numId w:val="8"/>
        </w:numPr>
        <w:spacing w:before="240" w:after="0" w:line="276" w:lineRule="auto"/>
        <w:jc w:val="both"/>
        <w:rPr>
          <w:rFonts w:asciiTheme="majorHAnsi" w:hAnsiTheme="majorHAnsi" w:cs="Arial"/>
          <w:szCs w:val="22"/>
        </w:rPr>
      </w:pPr>
      <w:r w:rsidRPr="00642161">
        <w:rPr>
          <w:rFonts w:asciiTheme="majorHAnsi" w:hAnsiTheme="majorHAnsi" w:cs="Arial"/>
          <w:szCs w:val="22"/>
        </w:rPr>
        <w:t xml:space="preserve">není vydán platný Souhlas s použitím výrobku na ŽDC ve vlastnictví státu, ani </w:t>
      </w:r>
    </w:p>
    <w:p w:rsidR="0042745D" w:rsidRPr="00642161" w:rsidRDefault="0042745D" w:rsidP="0042745D">
      <w:pPr>
        <w:pStyle w:val="Odstavecseseznamem"/>
        <w:numPr>
          <w:ilvl w:val="0"/>
          <w:numId w:val="8"/>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 xml:space="preserve">nejsou schváleny TPV, či PTPV, ani </w:t>
      </w:r>
    </w:p>
    <w:p w:rsidR="0042745D" w:rsidRPr="00642161" w:rsidRDefault="0042745D" w:rsidP="0042745D">
      <w:pPr>
        <w:pStyle w:val="Odstavecseseznamem"/>
        <w:numPr>
          <w:ilvl w:val="0"/>
          <w:numId w:val="8"/>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 xml:space="preserve">odbor automatizace a elektrotechniky nevydal souhlas se sjednáním PTPV nebo změnou již schválených PTPV, či TPV až v průběhu realizace dodávky, ani </w:t>
      </w:r>
    </w:p>
    <w:p w:rsidR="0042745D" w:rsidRPr="00642161" w:rsidRDefault="0042745D" w:rsidP="0042745D">
      <w:pPr>
        <w:pStyle w:val="Odstavecseseznamem"/>
        <w:numPr>
          <w:ilvl w:val="0"/>
          <w:numId w:val="8"/>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 xml:space="preserve">odbor automatizace a elektrotechniky neupustil od požadavku schválení TPV, či PTPV podle ustanovení 3.2, nebo </w:t>
      </w:r>
    </w:p>
    <w:p w:rsidR="0042745D" w:rsidRPr="00642161" w:rsidRDefault="0042745D" w:rsidP="0042745D">
      <w:pPr>
        <w:pStyle w:val="Odstavecseseznamem"/>
        <w:numPr>
          <w:ilvl w:val="0"/>
          <w:numId w:val="8"/>
        </w:numPr>
        <w:spacing w:before="240" w:after="0" w:line="276" w:lineRule="auto"/>
        <w:ind w:left="714" w:hanging="357"/>
        <w:jc w:val="both"/>
        <w:rPr>
          <w:rFonts w:asciiTheme="majorHAnsi" w:hAnsiTheme="majorHAnsi" w:cs="Arial"/>
          <w:szCs w:val="22"/>
        </w:rPr>
      </w:pPr>
      <w:r w:rsidRPr="00642161">
        <w:rPr>
          <w:rFonts w:asciiTheme="majorHAnsi" w:hAnsiTheme="majorHAnsi" w:cs="Arial"/>
          <w:szCs w:val="22"/>
        </w:rPr>
        <w:t xml:space="preserve">sice jsou schváleny TPV nebo PTPV, ale výrobek by měl být použit v rozporu s těmito TPV nebo PTPV. </w:t>
      </w:r>
    </w:p>
    <w:p w:rsidR="0042745D" w:rsidRPr="0030453E" w:rsidRDefault="0042745D" w:rsidP="0042745D">
      <w:pPr>
        <w:pStyle w:val="Odstavecseseznamem"/>
        <w:ind w:left="0"/>
        <w:contextualSpacing w:val="0"/>
        <w:rPr>
          <w:rFonts w:asciiTheme="majorHAnsi" w:hAnsiTheme="majorHAnsi" w:cs="Arial"/>
          <w:szCs w:val="22"/>
        </w:rPr>
      </w:pPr>
      <w:r w:rsidRPr="0030453E">
        <w:rPr>
          <w:rFonts w:asciiTheme="majorHAnsi" w:hAnsiTheme="majorHAnsi" w:cs="Arial"/>
          <w:szCs w:val="22"/>
        </w:rPr>
        <w:t xml:space="preserve">Tazatel nejprve poukazuje na § 36 odst. 1 ZZVZ, dle kterého platí, že zadávací podmínky nesmí být stanoveny tak, aby určitým dodavatelům bezdůvodně přímo nebo nepřímo zaručovaly konkurenční výhodu nebo vytvářely neodůvodněné překážky hospodářské soutěže. Součástí zadávacích podmínek jsou ve smyslu § 37 odst. 1 písm. b) ZZVZ rovněž technické podmínky, které představují požadavky na vlastnosti předmětu veřejné zakázky. Zadávací podmínky veřejné zakázky se vždy musí vztahovat k předmětu plnění veřejné zakázky a musí být stanoveny v souladu se zásadami dle § 6 ZZVZ, tedy nesmí být vymezeny tak, aby zásadním způsobem omezovaly okruh potenciálních dodavatelů veřejné zakázky jen na konkrétní a předem určené subjekty, čímž by fakticky vylučovaly jakoukoli reálnou soutěž o veřejnou zakázku. </w:t>
      </w:r>
    </w:p>
    <w:p w:rsidR="0042745D" w:rsidRPr="0030453E" w:rsidRDefault="0042745D" w:rsidP="0042745D">
      <w:pPr>
        <w:rPr>
          <w:rFonts w:asciiTheme="majorHAnsi" w:hAnsiTheme="majorHAnsi" w:cs="Arial"/>
        </w:rPr>
      </w:pPr>
      <w:r w:rsidRPr="0030453E">
        <w:rPr>
          <w:rFonts w:asciiTheme="majorHAnsi" w:hAnsiTheme="majorHAnsi" w:cs="Arial"/>
        </w:rPr>
        <w:t xml:space="preserve">Tazatel je přesvědčen, že </w:t>
      </w:r>
      <w:r w:rsidRPr="0030453E">
        <w:rPr>
          <w:rFonts w:asciiTheme="majorHAnsi" w:hAnsiTheme="majorHAnsi" w:cs="Arial"/>
          <w:u w:val="single"/>
        </w:rPr>
        <w:t xml:space="preserve">výše uvedeným požadavkům ZZVZ zadavatel nedostál, když vymezil zadávací podmínky veřejné zakázky takovým způsobem, že dílčí plnění předmětu veřejné zakázky, a to konkrétně </w:t>
      </w:r>
      <w:r w:rsidRPr="0030453E">
        <w:rPr>
          <w:rFonts w:asciiTheme="majorHAnsi" w:hAnsiTheme="majorHAnsi" w:cs="Arial"/>
          <w:bCs/>
          <w:u w:val="single"/>
        </w:rPr>
        <w:t xml:space="preserve">technologie rozvodny 110 </w:t>
      </w:r>
      <w:proofErr w:type="spellStart"/>
      <w:r w:rsidRPr="0030453E">
        <w:rPr>
          <w:rFonts w:asciiTheme="majorHAnsi" w:hAnsiTheme="majorHAnsi" w:cs="Arial"/>
          <w:bCs/>
          <w:u w:val="single"/>
        </w:rPr>
        <w:t>kV</w:t>
      </w:r>
      <w:proofErr w:type="spellEnd"/>
      <w:r w:rsidRPr="0030453E">
        <w:rPr>
          <w:rFonts w:asciiTheme="majorHAnsi" w:hAnsiTheme="majorHAnsi" w:cs="Arial"/>
          <w:bCs/>
          <w:u w:val="single"/>
        </w:rPr>
        <w:t xml:space="preserve"> a transformátory 110 </w:t>
      </w:r>
      <w:proofErr w:type="spellStart"/>
      <w:r w:rsidRPr="0030453E">
        <w:rPr>
          <w:rFonts w:asciiTheme="majorHAnsi" w:hAnsiTheme="majorHAnsi" w:cs="Arial"/>
          <w:bCs/>
          <w:u w:val="single"/>
        </w:rPr>
        <w:t>kV</w:t>
      </w:r>
      <w:proofErr w:type="spellEnd"/>
      <w:r w:rsidRPr="0030453E">
        <w:rPr>
          <w:rFonts w:asciiTheme="majorHAnsi" w:hAnsiTheme="majorHAnsi" w:cs="Arial"/>
          <w:bCs/>
          <w:u w:val="single"/>
        </w:rPr>
        <w:t xml:space="preserve"> (dále jen „</w:t>
      </w:r>
      <w:r w:rsidRPr="0030453E">
        <w:rPr>
          <w:rFonts w:asciiTheme="majorHAnsi" w:hAnsiTheme="majorHAnsi" w:cs="Arial"/>
          <w:b/>
          <w:u w:val="single"/>
        </w:rPr>
        <w:t xml:space="preserve">Technologie 110 </w:t>
      </w:r>
      <w:proofErr w:type="spellStart"/>
      <w:r w:rsidRPr="0030453E">
        <w:rPr>
          <w:rFonts w:asciiTheme="majorHAnsi" w:hAnsiTheme="majorHAnsi" w:cs="Arial"/>
          <w:b/>
          <w:u w:val="single"/>
        </w:rPr>
        <w:t>kV</w:t>
      </w:r>
      <w:proofErr w:type="spellEnd"/>
      <w:r w:rsidRPr="0030453E">
        <w:rPr>
          <w:rFonts w:asciiTheme="majorHAnsi" w:hAnsiTheme="majorHAnsi" w:cs="Arial"/>
          <w:bCs/>
          <w:u w:val="single"/>
        </w:rPr>
        <w:t>“)</w:t>
      </w:r>
      <w:r w:rsidRPr="0030453E">
        <w:rPr>
          <w:rFonts w:asciiTheme="majorHAnsi" w:hAnsiTheme="majorHAnsi" w:cs="Arial"/>
          <w:u w:val="single"/>
        </w:rPr>
        <w:t>, může být fakticky realizováno pouze konkrétními výhradními dodavateli zadavatele</w:t>
      </w:r>
      <w:r w:rsidRPr="0030453E">
        <w:rPr>
          <w:rFonts w:asciiTheme="majorHAnsi" w:hAnsiTheme="majorHAnsi" w:cs="Arial"/>
        </w:rPr>
        <w:t xml:space="preserve">. Dle tazateli dostupných informací Technologií 110 </w:t>
      </w:r>
      <w:proofErr w:type="spellStart"/>
      <w:r w:rsidRPr="0030453E">
        <w:rPr>
          <w:rFonts w:asciiTheme="majorHAnsi" w:hAnsiTheme="majorHAnsi" w:cs="Arial"/>
        </w:rPr>
        <w:t>kV</w:t>
      </w:r>
      <w:proofErr w:type="spellEnd"/>
      <w:r w:rsidRPr="0030453E">
        <w:rPr>
          <w:rFonts w:asciiTheme="majorHAnsi" w:hAnsiTheme="majorHAnsi" w:cs="Arial"/>
        </w:rPr>
        <w:t xml:space="preserve"> splňující požadavky Směrnice SŽDC na uvedení do provozu na ŽDC disponuje pouze několik málo dodavatelů.</w:t>
      </w:r>
    </w:p>
    <w:p w:rsidR="0042745D" w:rsidRPr="0030453E" w:rsidRDefault="0042745D" w:rsidP="0042745D">
      <w:pPr>
        <w:rPr>
          <w:rFonts w:asciiTheme="majorHAnsi" w:hAnsiTheme="majorHAnsi" w:cs="Arial"/>
        </w:rPr>
      </w:pPr>
      <w:r w:rsidRPr="0030453E">
        <w:rPr>
          <w:rFonts w:asciiTheme="majorHAnsi" w:hAnsiTheme="majorHAnsi" w:cs="Arial"/>
        </w:rPr>
        <w:t xml:space="preserve">Tazatel má zájem zúčastnit se zadávacího řízení, a protože není výrobcem ani dodavatelem Technologie 110 </w:t>
      </w:r>
      <w:proofErr w:type="spellStart"/>
      <w:r w:rsidRPr="0030453E">
        <w:rPr>
          <w:rFonts w:asciiTheme="majorHAnsi" w:hAnsiTheme="majorHAnsi" w:cs="Arial"/>
        </w:rPr>
        <w:t>kV</w:t>
      </w:r>
      <w:proofErr w:type="spellEnd"/>
      <w:r w:rsidRPr="0030453E">
        <w:rPr>
          <w:rFonts w:asciiTheme="majorHAnsi" w:hAnsiTheme="majorHAnsi" w:cs="Arial"/>
        </w:rPr>
        <w:t xml:space="preserve">, oslovil s žádostí o zpracování poddodavatelské nabídky všechny potenciální dodavatele, kteří fakticky jako jediní mohou realizovat předmětnou dílčí část zadávané veřejné zakázky. Do dnešního dne však tazatel závaznou poddodavatelskou nabídku od žádného z těchto monopolních dodavatelů neobdržel (třebaže s některými z nich stále jedná). Do uplynutí lhůty k podání nabídek na plnění veřejné zakázky zbývá již relativně málo času a schopnost tazatele sestavit a podat nabídku do zadávacího řízení je zcela závislá na tom, zda některý z výhradních dodavatelů Technologie 110 </w:t>
      </w:r>
      <w:proofErr w:type="spellStart"/>
      <w:r w:rsidRPr="0030453E">
        <w:rPr>
          <w:rFonts w:asciiTheme="majorHAnsi" w:hAnsiTheme="majorHAnsi" w:cs="Arial"/>
        </w:rPr>
        <w:t>kV</w:t>
      </w:r>
      <w:proofErr w:type="spellEnd"/>
      <w:r w:rsidRPr="0030453E">
        <w:rPr>
          <w:rFonts w:asciiTheme="majorHAnsi" w:hAnsiTheme="majorHAnsi" w:cs="Arial"/>
        </w:rPr>
        <w:t xml:space="preserve"> bude ochoten dát včas tazateli poddodavatelskou nabídku na tuto dílčí část veřejné zakázky.</w:t>
      </w:r>
    </w:p>
    <w:p w:rsidR="0042745D" w:rsidRPr="0030453E" w:rsidRDefault="0042745D" w:rsidP="0042745D">
      <w:pPr>
        <w:rPr>
          <w:rFonts w:asciiTheme="majorHAnsi" w:hAnsiTheme="majorHAnsi" w:cs="Arial"/>
        </w:rPr>
      </w:pPr>
      <w:r w:rsidRPr="0030453E">
        <w:rPr>
          <w:rFonts w:asciiTheme="majorHAnsi" w:hAnsiTheme="majorHAnsi" w:cs="Arial"/>
        </w:rPr>
        <w:t xml:space="preserve">S ohledem na výše uvedené je tazatel přesvědčen, že postup zadavatele při specifikaci předmětu veřejné zakázky a zadávání veřejné zakázky není v souladu se ZZVZ a základními zásadami pro zadávání veřejných zakázek, zejména se zásadou rovného zacházení a zákazu diskriminace. </w:t>
      </w:r>
      <w:r w:rsidRPr="0030453E">
        <w:rPr>
          <w:rFonts w:asciiTheme="majorHAnsi" w:hAnsiTheme="majorHAnsi" w:cs="Arial"/>
          <w:u w:val="single"/>
        </w:rPr>
        <w:t>Skutečnost, že zadavatel do předmětu veřejné zakázky zahrnul rovněž dílčí plnění, které může být realizováno výhradně určitými výhradními dodavateli, významným způsobem ovlivňuje okruh potencionálních dodavatelů, který je tímto způsobem uměle zúžen pouze na takové dodavatele, kterým budou výše uvedení výhradní dodavatelé na požadované plnění „ochotni“ dát poddodavatelskou nabídku</w:t>
      </w:r>
      <w:r w:rsidRPr="0030453E">
        <w:rPr>
          <w:rFonts w:asciiTheme="majorHAnsi" w:hAnsiTheme="majorHAnsi" w:cs="Arial"/>
        </w:rPr>
        <w:t>; uvedený postup zadavatele rovněž podstatným způsobem deformuje trh a soutěž o veřejnou zakázku. Tito výhradní dodavatelé dílčí části veřejné zakázky tak fakticky rozhodují o konkrétních účastnících zadávacího řízení, a tím i o výběru nejvhodnější nabídky, což je nepřípustné.</w:t>
      </w:r>
    </w:p>
    <w:p w:rsidR="0042745D" w:rsidRPr="0030453E" w:rsidRDefault="0042745D" w:rsidP="0042745D">
      <w:pPr>
        <w:rPr>
          <w:rFonts w:asciiTheme="majorHAnsi" w:hAnsiTheme="majorHAnsi" w:cs="Arial"/>
        </w:rPr>
      </w:pPr>
      <w:r w:rsidRPr="0030453E">
        <w:rPr>
          <w:rFonts w:asciiTheme="majorHAnsi" w:hAnsiTheme="majorHAnsi" w:cs="Arial"/>
        </w:rPr>
        <w:lastRenderedPageBreak/>
        <w:t>Tazatel dále poukazuje na skutečnost, že zadavatel v zadávacích podmínkách veřejné zakázky vyžaduje a podmiňuje realizaci stavby výhradně prostřednictvím výrobků, jejichž použití sám předem schválil postupem stanoveným ve svých interních předpisech, a to konkrétně ve Směrnici SŽDC. Tazatel má v této souvislosti určité pochybnosti o tom, zda zadavatelem vytvořený systém spočívající v uzavření trhu výrobků (a tím i Zařízení) a jejich jednotlivých dodavatelů pouze na okruh předem schválených a zadavatelem odsouhlasených subjektů (výhradních dodavatelů) a systém jejich přechozího schvalování zadavatelem, který je plně v dispozici zadavatele, bez právního nároku na zařazení do okruhu těchto dodavatelů a bez jakékoli možnosti obrany, je v souladu s hlavními principy a cíli evropské právní úpravy</w:t>
      </w:r>
      <w:r w:rsidRPr="0030453E">
        <w:rPr>
          <w:rFonts w:asciiTheme="majorHAnsi" w:hAnsiTheme="majorHAnsi" w:cs="Arial"/>
          <w:vertAlign w:val="superscript"/>
        </w:rPr>
        <w:footnoteReference w:id="2"/>
      </w:r>
      <w:r w:rsidRPr="0030453E">
        <w:rPr>
          <w:rFonts w:asciiTheme="majorHAnsi" w:hAnsiTheme="majorHAnsi" w:cs="Arial"/>
        </w:rPr>
        <w:t xml:space="preserve"> a jednotlivými právními předpisy ČR, a to jak s právními předpisy v oblasti bezpečnosti železnic, tak v oblasti hospodářské soutěže obecně. Tazatel se současně domnívá, že z žádných právních předpisů, a to jak z právních předpisů na národní úrovni, tak už vůbec ne z jednotlivých směrnic a/nebo nařízení Evropského parlamentu a Rady, neplyne oprávnění zadavatele předem si sám schvalovat a tím předurčovat okruh možných dodavatelů jednotlivých výrobků a zařízení pro stavby drah.  </w:t>
      </w:r>
    </w:p>
    <w:p w:rsidR="0042745D" w:rsidRPr="0022364F" w:rsidRDefault="0042745D" w:rsidP="0042745D">
      <w:pPr>
        <w:rPr>
          <w:rFonts w:asciiTheme="majorHAnsi" w:hAnsiTheme="majorHAnsi" w:cs="Arial"/>
        </w:rPr>
      </w:pPr>
      <w:r w:rsidRPr="00817EDD">
        <w:rPr>
          <w:rFonts w:asciiTheme="majorHAnsi" w:hAnsiTheme="majorHAnsi" w:cs="Arial"/>
        </w:rPr>
        <w:t xml:space="preserve">Za dané situace, kdy Technologie 110 </w:t>
      </w:r>
      <w:proofErr w:type="spellStart"/>
      <w:r w:rsidRPr="00817EDD">
        <w:rPr>
          <w:rFonts w:asciiTheme="majorHAnsi" w:hAnsiTheme="majorHAnsi" w:cs="Arial"/>
        </w:rPr>
        <w:t>kV</w:t>
      </w:r>
      <w:proofErr w:type="spellEnd"/>
      <w:r w:rsidRPr="00817EDD">
        <w:rPr>
          <w:rFonts w:asciiTheme="majorHAnsi" w:hAnsiTheme="majorHAnsi" w:cs="Arial"/>
        </w:rPr>
        <w:t xml:space="preserve"> splňující požadavky dle Směrnice SŽDC pro použití na železniční dopravní cestě může být dodána pouze několika málo výhradními dodavateli, má tazatel za to, že zadavatel měl zadávací podmínky přizpůsobit této skutečnosti tak, aby nedocházelo k bezdůvodnému omezení hospodářské soutěže. </w:t>
      </w:r>
      <w:r w:rsidRPr="00817EDD">
        <w:rPr>
          <w:rFonts w:asciiTheme="majorHAnsi" w:hAnsiTheme="majorHAnsi" w:cs="Arial"/>
          <w:u w:val="single"/>
        </w:rPr>
        <w:t xml:space="preserve">Zadavatel především může vyčlenit dodávku Technologie 110 </w:t>
      </w:r>
      <w:proofErr w:type="spellStart"/>
      <w:r w:rsidRPr="00817EDD">
        <w:rPr>
          <w:rFonts w:asciiTheme="majorHAnsi" w:hAnsiTheme="majorHAnsi" w:cs="Arial"/>
          <w:u w:val="single"/>
        </w:rPr>
        <w:t>kV</w:t>
      </w:r>
      <w:proofErr w:type="spellEnd"/>
      <w:r w:rsidRPr="00817EDD">
        <w:rPr>
          <w:rFonts w:asciiTheme="majorHAnsi" w:hAnsiTheme="majorHAnsi" w:cs="Arial"/>
          <w:u w:val="single"/>
        </w:rPr>
        <w:t xml:space="preserve"> z předmětu veřejné zakázky, zajistit si tuto dodávku samostatně a v předmětném zadávacím řízení poptávat pouze stavební práce bez samotného dodání této technologie.</w:t>
      </w:r>
      <w:r w:rsidRPr="00817EDD">
        <w:rPr>
          <w:rFonts w:asciiTheme="majorHAnsi" w:hAnsiTheme="majorHAnsi" w:cs="Arial"/>
        </w:rPr>
        <w:t xml:space="preserve"> Jakkoliv si je tazatel vědom toho, že Technologie 110 </w:t>
      </w:r>
      <w:proofErr w:type="spellStart"/>
      <w:r w:rsidRPr="00817EDD">
        <w:rPr>
          <w:rFonts w:asciiTheme="majorHAnsi" w:hAnsiTheme="majorHAnsi" w:cs="Arial"/>
        </w:rPr>
        <w:t>kV</w:t>
      </w:r>
      <w:proofErr w:type="spellEnd"/>
      <w:r w:rsidRPr="00817EDD">
        <w:rPr>
          <w:rFonts w:asciiTheme="majorHAnsi" w:hAnsiTheme="majorHAnsi" w:cs="Arial"/>
        </w:rPr>
        <w:t xml:space="preserve"> je významnou částí plnění veřejné zakázky, nejde jistě o část neoddělitelnou a z hlediska finančního rozsahu v poměru ke stavebním částem veřejné zakázky se zdaleka nejedná o plnění dominantní. Pokud přesto zadavatel považuje za nezbytné ponechat v rámci předmětu veřejné zakázky i dodávku Technologie 110 </w:t>
      </w:r>
      <w:proofErr w:type="spellStart"/>
      <w:r w:rsidRPr="00817EDD">
        <w:rPr>
          <w:rFonts w:asciiTheme="majorHAnsi" w:hAnsiTheme="majorHAnsi" w:cs="Arial"/>
        </w:rPr>
        <w:t>kV</w:t>
      </w:r>
      <w:proofErr w:type="spellEnd"/>
      <w:r w:rsidRPr="00817EDD">
        <w:rPr>
          <w:rFonts w:asciiTheme="majorHAnsi" w:hAnsiTheme="majorHAnsi" w:cs="Arial"/>
        </w:rPr>
        <w:t xml:space="preserve">, měl by dle přesvědčení tazatele eliminovat popsané negativní dopady na hospodářskou soutěž alespoň tím, že </w:t>
      </w:r>
      <w:r w:rsidRPr="00817EDD">
        <w:rPr>
          <w:rFonts w:asciiTheme="majorHAnsi" w:hAnsiTheme="majorHAnsi" w:cs="Arial"/>
          <w:u w:val="single"/>
        </w:rPr>
        <w:t xml:space="preserve">zajistí potřebnou součinnost výhradních dodavatelů této technologie tak, aby žádný z dodavatelů majících zájem o plnění veřejné zakázky a splňujících kvalifikační předpoklady nebyl o možnost získat veřejnou zakázku připraven jen proto, že žádný z výhradních dodavatelů Technologie 110 </w:t>
      </w:r>
      <w:proofErr w:type="spellStart"/>
      <w:r w:rsidRPr="00817EDD">
        <w:rPr>
          <w:rFonts w:asciiTheme="majorHAnsi" w:hAnsiTheme="majorHAnsi" w:cs="Arial"/>
          <w:u w:val="single"/>
        </w:rPr>
        <w:t>kV</w:t>
      </w:r>
      <w:proofErr w:type="spellEnd"/>
      <w:r w:rsidRPr="00817EDD">
        <w:rPr>
          <w:rFonts w:asciiTheme="majorHAnsi" w:hAnsiTheme="majorHAnsi" w:cs="Arial"/>
          <w:u w:val="single"/>
        </w:rPr>
        <w:t xml:space="preserve"> s ním nebude ochoten </w:t>
      </w:r>
      <w:r w:rsidRPr="0022364F">
        <w:rPr>
          <w:rFonts w:asciiTheme="majorHAnsi" w:hAnsiTheme="majorHAnsi" w:cs="Arial"/>
          <w:u w:val="single"/>
        </w:rPr>
        <w:t>spolupracovat</w:t>
      </w:r>
      <w:r w:rsidRPr="0022364F">
        <w:rPr>
          <w:rFonts w:asciiTheme="majorHAnsi" w:hAnsiTheme="majorHAnsi" w:cs="Arial"/>
        </w:rPr>
        <w:t xml:space="preserve">. Pakliže ani v tomto směru zadavatel žádná opatření neučiní, má tazatel za to, že k zachování otevřené, nediskriminační soutěže o veřejnou zakázku je nutné </w:t>
      </w:r>
      <w:r w:rsidRPr="0022364F">
        <w:rPr>
          <w:rFonts w:asciiTheme="majorHAnsi" w:hAnsiTheme="majorHAnsi" w:cs="Arial"/>
          <w:u w:val="single"/>
        </w:rPr>
        <w:t xml:space="preserve">alespoň nastavením odpovídající délky lhůty pro podání nabídek umožnit, aby stanovené podmínky schválení Technologie 110 </w:t>
      </w:r>
      <w:proofErr w:type="spellStart"/>
      <w:r w:rsidRPr="0022364F">
        <w:rPr>
          <w:rFonts w:asciiTheme="majorHAnsi" w:hAnsiTheme="majorHAnsi" w:cs="Arial"/>
          <w:u w:val="single"/>
        </w:rPr>
        <w:t>kV</w:t>
      </w:r>
      <w:proofErr w:type="spellEnd"/>
      <w:r w:rsidRPr="0022364F">
        <w:rPr>
          <w:rFonts w:asciiTheme="majorHAnsi" w:hAnsiTheme="majorHAnsi" w:cs="Arial"/>
          <w:u w:val="single"/>
        </w:rPr>
        <w:t xml:space="preserve"> pro použití na ŽDC mohli splnit i jiní dodavatelé než pouze úzká skupina stávajících dodavatelů</w:t>
      </w:r>
      <w:r w:rsidRPr="0022364F">
        <w:rPr>
          <w:rFonts w:asciiTheme="majorHAnsi" w:hAnsiTheme="majorHAnsi" w:cs="Arial"/>
        </w:rPr>
        <w:t>. Již s ohledem na úpravu postupu schvalování nových výrobků pro použití na železniční dopravní cestě ve Směrnici SŽDC a lhůt tam stanovených je zřejmé, že se jedná o proces trvající v řádu několika měsíců (dle tazateli dostupných informací není neobvyklé, pokud se daný proces protáhne až na dobu půl roku od podání příslušné žádosti), proto třicetidenní lhůta pro podání nabídek z tohoto pohledu nemůže být v žádném případě považována za dostačující.</w:t>
      </w:r>
    </w:p>
    <w:p w:rsidR="0042745D" w:rsidRPr="0030453E" w:rsidRDefault="0042745D" w:rsidP="0042745D">
      <w:pPr>
        <w:rPr>
          <w:rFonts w:asciiTheme="majorHAnsi" w:hAnsiTheme="majorHAnsi" w:cs="Arial"/>
        </w:rPr>
      </w:pPr>
      <w:r w:rsidRPr="0030453E">
        <w:rPr>
          <w:rFonts w:asciiTheme="majorHAnsi" w:hAnsiTheme="majorHAnsi" w:cs="Arial"/>
          <w:u w:val="single"/>
        </w:rPr>
        <w:t>Tazatel je tak přesvědčen, že zadavatel nastavil zadávací podmínky v rozporu se ZZVZ, když zadavatel v rámci jednoho zadávacího řízení spojil dohromady části plnění, které mohou realizovat pouze konkrétní výhradní (monopolní) dodavatelé s výsadním postavením na daném trhu s těmi částmi plnění, která jsou realizovatelná mnohem širším okruhem dodavatelů</w:t>
      </w:r>
      <w:r w:rsidRPr="0030453E">
        <w:rPr>
          <w:rFonts w:asciiTheme="majorHAnsi" w:hAnsiTheme="majorHAnsi" w:cs="Arial"/>
        </w:rPr>
        <w:t>, čímž vytvořil prostředí, ve kterém monopolní dodavatelé mohou rozhodovat o tom, kteří dodavatelé se zadávacího řízení budou moci zúčastnit a kteří dodavatelé tak mohou realizovat předmět veřejné zakázky jako celek.</w:t>
      </w:r>
    </w:p>
    <w:p w:rsidR="0042745D" w:rsidRPr="0030453E" w:rsidRDefault="0042745D" w:rsidP="0042745D">
      <w:pPr>
        <w:rPr>
          <w:rFonts w:asciiTheme="majorHAnsi" w:hAnsiTheme="majorHAnsi" w:cs="Arial"/>
          <w:b/>
          <w:bCs/>
        </w:rPr>
      </w:pPr>
      <w:r w:rsidRPr="0030453E">
        <w:rPr>
          <w:rFonts w:asciiTheme="majorHAnsi" w:hAnsiTheme="majorHAnsi" w:cs="Arial"/>
          <w:b/>
          <w:bCs/>
        </w:rPr>
        <w:t xml:space="preserve">Tazatel tak shrnuje, že zadavatel tím, že podmínil podání nabídky, resp. splnění veškerých podmínek účasti v zadávacím řízení předložením specifikace Zařízení </w:t>
      </w:r>
      <w:r w:rsidRPr="0030453E">
        <w:rPr>
          <w:rFonts w:asciiTheme="majorHAnsi" w:hAnsiTheme="majorHAnsi" w:cs="Arial"/>
          <w:b/>
          <w:bCs/>
        </w:rPr>
        <w:lastRenderedPageBreak/>
        <w:t xml:space="preserve">a dokladů o jeho dispozici, přestože požadavky zadavatele na Zařízení, pokud jde o Technologii 110 </w:t>
      </w:r>
      <w:proofErr w:type="spellStart"/>
      <w:r w:rsidRPr="0030453E">
        <w:rPr>
          <w:rFonts w:asciiTheme="majorHAnsi" w:hAnsiTheme="majorHAnsi" w:cs="Arial"/>
          <w:b/>
          <w:bCs/>
        </w:rPr>
        <w:t>kV</w:t>
      </w:r>
      <w:proofErr w:type="spellEnd"/>
      <w:r w:rsidRPr="0030453E">
        <w:rPr>
          <w:rFonts w:asciiTheme="majorHAnsi" w:hAnsiTheme="majorHAnsi" w:cs="Arial"/>
          <w:b/>
          <w:bCs/>
        </w:rPr>
        <w:t>, je reálně schopen splnit pouze velmi úzký okruh dodavatelů, bezdůvodně a v rozporu s pravidly stanovenými ZZVZ omezuje hospodářskou soutěž a okruh potencionálních dodavatelů, jakož i brání efektivnímu, účelnému a hospodárnému vynakládání finančních prostředků.</w:t>
      </w:r>
    </w:p>
    <w:p w:rsidR="0030453E" w:rsidRDefault="0042745D" w:rsidP="0042745D">
      <w:pPr>
        <w:rPr>
          <w:rFonts w:asciiTheme="majorHAnsi" w:hAnsiTheme="majorHAnsi" w:cs="Arial"/>
          <w:b/>
          <w:bCs/>
        </w:rPr>
      </w:pPr>
      <w:r w:rsidRPr="0030453E">
        <w:rPr>
          <w:rFonts w:asciiTheme="majorHAnsi" w:hAnsiTheme="majorHAnsi" w:cs="Arial"/>
          <w:b/>
          <w:bCs/>
        </w:rPr>
        <w:t xml:space="preserve">Je zadavatel i nadále přesvědčen, že požadavek na předložení specifikace Zařízení, které splňuje náročné podmínky Směrnice SŽDC, v rámci nabídky dodavatele je ve vztahu k předmětu veřejné zakázky odůvodněný a přiměřený (tedy formulovaný v souladu s § 36 odst. 1 ZZVZ a § 37 odst. 1 písm. b) ZZVZ ve spojení s § 6 ZZVZ)? Jakým způsobem zadavatel zajistí otevřenou, transparentní a nediskriminační soutěž o veřejnou zakázku, když zadavatel předem určil a schválil výhradní dodavatele dílčí části veřejné zakázky, která je rozhodující pro určení okruhu potenciálních dodavatelů? Upraví zadavatel v zájmu zachování otevřené, transparentní a nediskriminační soutěže o veřejnou zakázku zadávací podmínky tak, že vyjme z předmětu plnění veřejné zakázky Technologii 110 </w:t>
      </w:r>
      <w:proofErr w:type="spellStart"/>
      <w:r w:rsidRPr="0030453E">
        <w:rPr>
          <w:rFonts w:asciiTheme="majorHAnsi" w:hAnsiTheme="majorHAnsi" w:cs="Arial"/>
          <w:b/>
          <w:bCs/>
        </w:rPr>
        <w:t>kV</w:t>
      </w:r>
      <w:proofErr w:type="spellEnd"/>
      <w:r w:rsidRPr="0030453E">
        <w:rPr>
          <w:rFonts w:asciiTheme="majorHAnsi" w:hAnsiTheme="majorHAnsi" w:cs="Arial"/>
          <w:b/>
          <w:bCs/>
        </w:rPr>
        <w:t xml:space="preserve"> a pořídí ji mimo předmětné zadávací řízení? Pakliže zadavatel i nadále trvá na požadavku dle čl. 9.1 ZD, zajistí zadavatel potřebnou součinnost těchto výhradních dodavatelů dílčí části plnění veřejné zakázky tak, aby nedošlo ke zvýhodňování jen některých zájemců o veřejnou zakázku a všichni potenciální dodavatelé veřejné zakázky měli stejné podmínky pro zpracování svých nabídek a stejné šance v zadávacím řízení uspět? Případně stanoví zadavatel lhůtu pro podání nabídek tak, aby bylo reálně možné dosáhnout v této lhůtě potřebného schválení Technologie 110 </w:t>
      </w:r>
      <w:proofErr w:type="spellStart"/>
      <w:r w:rsidRPr="0030453E">
        <w:rPr>
          <w:rFonts w:asciiTheme="majorHAnsi" w:hAnsiTheme="majorHAnsi" w:cs="Arial"/>
          <w:b/>
          <w:bCs/>
        </w:rPr>
        <w:t>kV</w:t>
      </w:r>
      <w:proofErr w:type="spellEnd"/>
      <w:r w:rsidRPr="0030453E">
        <w:rPr>
          <w:rFonts w:asciiTheme="majorHAnsi" w:hAnsiTheme="majorHAnsi" w:cs="Arial"/>
          <w:b/>
          <w:bCs/>
        </w:rPr>
        <w:t xml:space="preserve"> pro použití na železniční dopravní cestě v souladu se Směrnicí SŽDC?</w:t>
      </w:r>
    </w:p>
    <w:p w:rsidR="0030453E" w:rsidRPr="009269ED" w:rsidRDefault="0030453E" w:rsidP="0030453E">
      <w:pPr>
        <w:spacing w:after="200" w:line="276" w:lineRule="auto"/>
        <w:contextualSpacing/>
        <w:jc w:val="both"/>
        <w:rPr>
          <w:rFonts w:eastAsia="Calibri" w:cs="Times New Roman"/>
          <w:b/>
          <w:lang w:eastAsia="cs-CZ"/>
        </w:rPr>
      </w:pPr>
      <w:r w:rsidRPr="009269ED">
        <w:rPr>
          <w:rFonts w:eastAsia="Calibri" w:cs="Times New Roman"/>
          <w:b/>
          <w:lang w:eastAsia="cs-CZ"/>
        </w:rPr>
        <w:t xml:space="preserve">Odpověď: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 xml:space="preserve">Zadavatel pečlivě zvážil všechny argumenty a dospěl k závěru, že níže uvedený předmětný požadavek v článku č. 9.1. Pokynů pro dodavatele je racionálně odůvodněný a přiměřený.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9.1</w:t>
      </w:r>
      <w:r w:rsidRPr="009269ED">
        <w:rPr>
          <w:rFonts w:eastAsia="Calibri" w:cs="Times New Roman"/>
          <w:lang w:eastAsia="cs-CZ"/>
        </w:rPr>
        <w:tab/>
        <w:t>V rámci splnění dalších požadavků zadavatele na sestavení a podání nabídek musí všichni dodavatelé ve svých nabídkách předložit následující informace, dokumenty a doklady:</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w:t>
      </w:r>
      <w:r w:rsidRPr="009269ED">
        <w:rPr>
          <w:rFonts w:eastAsia="Calibri" w:cs="Times New Roman"/>
          <w:lang w:eastAsia="cs-CZ"/>
        </w:rPr>
        <w:tab/>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elektrotechniky a energetiky, předloží následně vybraný dodavatel v rámci poskytnutí součinnosti před uzavřením smlouvy postupem dle čl. 19 těchto Pokynů smlouvu uzavřenou s výrobcem nebo dodavatelem tohoto zařízení elektrotechniky a energetiky,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w:t>
      </w:r>
      <w:r w:rsidRPr="009269ED">
        <w:rPr>
          <w:rFonts w:eastAsia="Calibri" w:cs="Times New Roman"/>
          <w:u w:val="single"/>
          <w:lang w:eastAsia="cs-CZ"/>
        </w:rPr>
        <w:t xml:space="preserve">technologie rozvodny 110 </w:t>
      </w:r>
      <w:proofErr w:type="spellStart"/>
      <w:r w:rsidRPr="009269ED">
        <w:rPr>
          <w:rFonts w:eastAsia="Calibri" w:cs="Times New Roman"/>
          <w:u w:val="single"/>
          <w:lang w:eastAsia="cs-CZ"/>
        </w:rPr>
        <w:t>kV</w:t>
      </w:r>
      <w:proofErr w:type="spellEnd"/>
      <w:r w:rsidRPr="009269ED">
        <w:rPr>
          <w:rFonts w:eastAsia="Calibri" w:cs="Times New Roman"/>
          <w:u w:val="single"/>
          <w:lang w:eastAsia="cs-CZ"/>
        </w:rPr>
        <w:t>, transformátory 110</w:t>
      </w:r>
      <w:r w:rsidR="00642161" w:rsidRPr="009269ED">
        <w:rPr>
          <w:rFonts w:eastAsia="Calibri" w:cs="Times New Roman"/>
          <w:u w:val="single"/>
          <w:lang w:eastAsia="cs-CZ"/>
        </w:rPr>
        <w:t>/22</w:t>
      </w:r>
      <w:r w:rsidRPr="009269ED">
        <w:rPr>
          <w:rFonts w:eastAsia="Calibri" w:cs="Times New Roman"/>
          <w:u w:val="single"/>
          <w:lang w:eastAsia="cs-CZ"/>
        </w:rPr>
        <w:t xml:space="preserve"> </w:t>
      </w:r>
      <w:proofErr w:type="spellStart"/>
      <w:r w:rsidRPr="009269ED">
        <w:rPr>
          <w:rFonts w:eastAsia="Calibri" w:cs="Times New Roman"/>
          <w:u w:val="single"/>
          <w:lang w:eastAsia="cs-CZ"/>
        </w:rPr>
        <w:t>kV</w:t>
      </w:r>
      <w:proofErr w:type="spellEnd"/>
      <w:r w:rsidRPr="009269ED">
        <w:rPr>
          <w:rFonts w:eastAsia="Calibri" w:cs="Times New Roman"/>
          <w:u w:val="single"/>
          <w:lang w:eastAsia="cs-CZ"/>
        </w:rPr>
        <w:t xml:space="preserve"> – musí mít schválené trvalé technické podmínky pro použití na drahách Správy železnic - dodávka a uvedení do provozu.</w:t>
      </w:r>
      <w:r w:rsidRPr="009269ED">
        <w:rPr>
          <w:rFonts w:eastAsia="Calibri" w:cs="Times New Roman"/>
          <w:lang w:eastAsia="cs-CZ"/>
        </w:rPr>
        <w:t xml:space="preserve"> (dále jen „Technologické zařízení“)</w:t>
      </w:r>
    </w:p>
    <w:p w:rsidR="0030453E" w:rsidRPr="009269ED" w:rsidRDefault="0030453E" w:rsidP="0030453E">
      <w:pPr>
        <w:spacing w:after="200" w:line="276" w:lineRule="auto"/>
        <w:contextualSpacing/>
        <w:jc w:val="both"/>
        <w:rPr>
          <w:rFonts w:eastAsia="Calibri" w:cs="Times New Roman"/>
          <w:lang w:eastAsia="cs-CZ"/>
        </w:rPr>
      </w:pP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Požadované zařízení je hlavní částí předmětu plnění této veřejné zakázky a je nezbytné pro její úspěšné dokončení. Z tohoto důvodu bylo vyhrazeno doložení (zajištění) dodávky tohoto Technologického zařízení, aby měl zadavatel najisto postaveno, zda je dodavatel schopen předmětnou zakázku realizovat.</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 xml:space="preserve">V případě, že by dodavatel neměl dodávku předmětného Technologického zařízení zajištěnou, hrozilo by s velkou mírou pravděpodobnosti prodloužení stavby, finanční nárůsty z důvodu prodlení, či ohrožení navazujících staveb, v krajním případě až odstoupení od smlouvy. </w:t>
      </w:r>
      <w:r w:rsidRPr="009269ED">
        <w:t xml:space="preserve">Všechny tyto skutečnosti představují pro Zadavatele objektivní a zcela neakceptovatelná rizika, která by měl jako řádný hospodář eliminovat či alespoň </w:t>
      </w:r>
      <w:proofErr w:type="spellStart"/>
      <w:r w:rsidRPr="009269ED">
        <w:t>mitigovat</w:t>
      </w:r>
      <w:proofErr w:type="spellEnd"/>
      <w:r w:rsidRPr="009269ED">
        <w:t xml:space="preserve"> na nejnižší možnou úroveň.</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lastRenderedPageBreak/>
        <w:t xml:space="preserve">Podmínka, aby specifikované Technologické zařízení bylo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je také opodstatněná. Zařízení, která nesplňují předepsané technické podmínky, nemohou být na železniční dopravní cestě využívána, a to především z důvodu bezpečnosti provozu.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Tazateli musí být zřejmé, že na národních železničních dopravních cestách je možné uvést do provozu pouze taková zařízení, která prošla určitým schvalovacím procesem a získala řádné oprávnění k provozu na železnici. V opačném případě by nemohla být zajištěna bezpečnost drážní dopravy, interoperabilita, ani kompatibilita jednotlivých systémů, či jednotnost obsluhy. Aby mohl být výrobek uveden do provozu na železniční dopravní cestě, musí splnit určité technické specifikace. Takto i požadovaná Technologická zařízení musí splnit stanovené požadavky a specifikace a musí být v souladu s právními předpisy, evropskými normami i dalšími dokumenty Zadavatele.</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Doložení dispozice s požadovanými Technologickými zařízeními již ve fázi podání nabídek zadavatel stanovil s ohledem na své potřeby a ve snaze zajistit efektivní průběh zadávacího řízení a navazující realizace stavby. Zadavatel má pochopitelně zájem na tom, aby mu v zadávacím řízení nabídku předložili pouze takoví dodavatelé, kteří jsou objektivně schopni plnění předmětné veřejné zakázky poskytnout. Naplnění tohoto svého cíle pak zadavatel zajišťuje zejména stanovením podmínek účasti, jejichž splnění po účastnících zadávacího řízení vyžaduje.</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Dispozice s požadovanými Technologickými zařízeními použitelnými pro plnění veřejné zakázky je dle Zadavatele nezbytnou podmínkou pro možnost veřejnou zakázku plnit. Doložení této dispozice v rámci podmínek účasti tedy odpovídá smyslu a účelu tohoto institutu, kterým je vyloučit ze zadávacího řízení dodavatele, kteří nejsou způsobilí veřejnou zakázku plnit, a to buď pro nedostatek svých zkušeností či schopností, nebo pro nedostatek personálních či výrobních kapacit, včetně technických zařízení nutných pro úspěšné plnění veřejné zakázky.</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Zájmem zadavatele je pak obdržet pouze takové nabídky, které podali způsobilí dodavatelé. Naopak zadavatel usiluje o to, aby nemusel např. posuzovat nabídku vybraného dodavatele, u kterého by před uzavřením smlouvy vyšlo najevo, že ve skutečnosti není způsobilý zakázku plnit, a který by pak musel být vyloučen postupem dle § 122 odst. 5 ZZVZ. To by pro zadavatele znamenalo nejen zbytečně vynaložené úsilí na posuzování nabídky tohoto účastníka, které by následně muselo být vynaloženo opět na posuzování nabídky dalšího v pořadí, ale rovněž nezanedbatelnou časovou ztrátu způsobenou zejm. prováděním zákonem stanovených úkonů při výběru a během souvisejících lhůt.</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V opačném případě by podání nabídky (s nezajištěnou částí plnění ve smyslu výše uvedeného) bylo čistě spekulativní, neboť vybraný dodavatel by fakticky bez přiměřeného důvodu spoléhal na to, že kapacity potřebné k plnění pro zadavatele významné a poměrně rozsáhlé veřejné zakázky získá až poté, co bude jeho nabídka vybrána. Takový předpoklad však zadavateli není jakkoliv garantován a ponechává jej ve značné nejistotě. Jsou-li však podmínky účasti ve veřejné zakázce stanoveny takovým způsobem, že vylučují podávání takovýchto spekulativních nabídek, jedná se dle názoru zadavatele o vyhovující omezení učiněné v mezích zákonné úpravy, které je nastaveno zcela nediskriminačně, protože platí pro všechny subjekty stejně.</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Pokud jde o tvrzení tazatele, že „zadavatel předem určil a schválil výhradní dodavatele dílčí části veřejné zakázky, která je rozhodující pro určení okruhu potenciálních dodavatelů„ uvádí k tomu zadavatel, že o vydání souhlasu s použitím výrobku dle Směrnice SŽDC č. 34 může požádat a jej získat každý, nikoliv jen subjekty, které jej až dosud získaly. Nelze tedy věrohodně argumentovat, že tazatel (nebo kdokoliv jiný) by byl diskriminován tím, že doposud byla postupem podle Směrnice SŽDC č. 34 schválena pouze Technologická zařízení jen některých dodavatelů. Po žadatelích ve smyslu Směrnice SŽDC č. 34 je však zcela logicky vyžadováno naplnění určitých předpokladů a technických podmínek, aby nedošlo k ohrožení života a zdraví nebo škodám na majetku (ve velkém rozsahu) při provozování drážní dopravy. Spatřuje-li snad tazatel diskriminační prvek v této skutečnosti, nechť si sám pováží veřejný zájem na bezpečnosti drážní dopravy a jeho soukromý zájem plnit veřejnou zakázku.</w:t>
      </w:r>
    </w:p>
    <w:p w:rsidR="00C43096" w:rsidRPr="009269ED" w:rsidRDefault="00C43096" w:rsidP="00C43096">
      <w:pPr>
        <w:pStyle w:val="Bezmezer"/>
        <w:spacing w:before="120"/>
        <w:jc w:val="both"/>
      </w:pPr>
      <w:r w:rsidRPr="009269ED">
        <w:lastRenderedPageBreak/>
        <w:t xml:space="preserve">Postup, který navrhuje uchazeč, totiž že Zadavatel mohl vyjmout </w:t>
      </w:r>
      <w:r w:rsidR="004240CA" w:rsidRPr="009269ED">
        <w:t>Technologická zařízení</w:t>
      </w:r>
      <w:r w:rsidRPr="009269ED">
        <w:t xml:space="preserve"> z předmětu plnění veřejné zakázky a pořídit ji mimo předmětné zadávací řízení, by byl dle mínění Zadavatele teoreticky snad možný, prakticky je však s ohledem na předmět veřejné zakázky nemožné jednoznačně vymezit jednotlivá plnění a odpovědnost jednotlivých dodavatelů tak, aby byla zajištěna vzájemná propojenost a funkčnost jednotlivých prvků Technologických zařízení. Podle Zadavatele nelze zajištění Technologických</w:t>
      </w:r>
      <w:r w:rsidR="00ED4E95" w:rsidRPr="009269ED">
        <w:t xml:space="preserve"> zařízení </w:t>
      </w:r>
      <w:r w:rsidRPr="009269ED">
        <w:t>od předmětu plnění oddělit, neboť spolu veškeré komponenty veřejné zakázky technicky úzce souvisejí.</w:t>
      </w:r>
    </w:p>
    <w:p w:rsidR="00ED4E95" w:rsidRPr="009269ED" w:rsidRDefault="00ED4E95" w:rsidP="00ED4E95">
      <w:pPr>
        <w:pStyle w:val="Bezmezer"/>
        <w:spacing w:before="120"/>
        <w:jc w:val="both"/>
      </w:pPr>
      <w:r w:rsidRPr="009269ED">
        <w:t xml:space="preserve">Návrh uchazeče, aby Zadavatel </w:t>
      </w:r>
      <w:proofErr w:type="gramStart"/>
      <w:r w:rsidRPr="009269ED">
        <w:t>zajistil</w:t>
      </w:r>
      <w:proofErr w:type="gramEnd"/>
      <w:r w:rsidRPr="009269ED">
        <w:t xml:space="preserve"> všem potenciálním uchazečům spolupráci s dodavatelem Technologických zařízení </w:t>
      </w:r>
      <w:proofErr w:type="gramStart"/>
      <w:r w:rsidR="004240CA" w:rsidRPr="009269ED">
        <w:t>považuje</w:t>
      </w:r>
      <w:proofErr w:type="gramEnd"/>
      <w:r w:rsidR="004240CA" w:rsidRPr="009269ED">
        <w:t xml:space="preserve"> Zadavatel za naprosto</w:t>
      </w:r>
      <w:r w:rsidRPr="009269ED">
        <w:t xml:space="preserve"> nereálný. Je zcela mimo možnosti Zadavatele přesvědčit či přimět jakéhokoli dodavatele ke spolupráci s jinými dodavateli. </w:t>
      </w:r>
    </w:p>
    <w:p w:rsidR="004240CA" w:rsidRPr="009269ED" w:rsidRDefault="004240CA" w:rsidP="00ED4E95">
      <w:pPr>
        <w:pStyle w:val="Bezmezer"/>
        <w:spacing w:before="120"/>
        <w:jc w:val="both"/>
      </w:pPr>
    </w:p>
    <w:p w:rsidR="00C43096" w:rsidRDefault="00817EDD" w:rsidP="0030453E">
      <w:pPr>
        <w:spacing w:after="200" w:line="276" w:lineRule="auto"/>
        <w:contextualSpacing/>
        <w:jc w:val="both"/>
        <w:rPr>
          <w:rFonts w:eastAsia="Calibri" w:cs="Times New Roman"/>
          <w:lang w:eastAsia="cs-CZ"/>
        </w:rPr>
      </w:pPr>
      <w:r w:rsidRPr="009269ED">
        <w:rPr>
          <w:rFonts w:eastAsia="Calibri" w:cs="Times New Roman"/>
          <w:lang w:eastAsia="cs-CZ"/>
        </w:rPr>
        <w:t xml:space="preserve">Proces schvalování technických podmínek trvá v průměru tři měsíce, avšak zadavatel dle článku 3.2 směrnice SŽDC č. 34 „může … upustit od postupových kroků uvedených v ustanovení </w:t>
      </w:r>
      <w:proofErr w:type="gramStart"/>
      <w:r w:rsidRPr="009269ED">
        <w:rPr>
          <w:rFonts w:eastAsia="Calibri" w:cs="Times New Roman"/>
          <w:lang w:eastAsia="cs-CZ"/>
        </w:rPr>
        <w:t>3.1. písm.</w:t>
      </w:r>
      <w:proofErr w:type="gramEnd"/>
      <w:r w:rsidRPr="009269ED">
        <w:rPr>
          <w:rFonts w:eastAsia="Calibri" w:cs="Times New Roman"/>
          <w:lang w:eastAsia="cs-CZ"/>
        </w:rPr>
        <w:t xml:space="preserve"> a) až c). Pro tento případ může rovněž stanovit rozsah obchodně technické dokumentace odlišně od přílohy 1. O zjednodušení schvalovacího procesu může Zadavatel rozhodnout i u ojedinělých aplikací výrobků (u výrobků, kterých se týká ustanovení 12.1 směrnice SŽDC č. 34, při respektování stanoviska hodnotitele bezpečnosti).“ </w:t>
      </w:r>
      <w:r w:rsidR="0022364F" w:rsidRPr="009269ED">
        <w:rPr>
          <w:rFonts w:eastAsia="Calibri" w:cs="Times New Roman"/>
          <w:lang w:eastAsia="cs-CZ"/>
        </w:rPr>
        <w:t xml:space="preserve"> V</w:t>
      </w:r>
      <w:r w:rsidR="004240CA" w:rsidRPr="009269ED">
        <w:rPr>
          <w:rFonts w:eastAsia="Calibri" w:cs="Times New Roman"/>
          <w:lang w:eastAsia="cs-CZ"/>
        </w:rPr>
        <w:t>zhledem k</w:t>
      </w:r>
      <w:r w:rsidR="0022364F" w:rsidRPr="009269ED">
        <w:rPr>
          <w:rFonts w:eastAsia="Calibri" w:cs="Times New Roman"/>
          <w:lang w:eastAsia="cs-CZ"/>
        </w:rPr>
        <w:t xml:space="preserve"> tomu, že Zadavatel zadává zadávací řízení, jejichž součástí jsou různá Technologická zařízení, dlouhodobě, nejedná se o první veřejnou zakázku s tímto zařízením, měl uchazeč možnost požádat o schválení technický podmínek kdykoli. Zadavateli však není známo, že by do dnešního dne uchazeč, ať již sám či ve spolupráci s jiným dodavatelem, požádal o schválení technických podmínek Technologických zařízení a projevil tak jím deklarovaný skutečný zájem o získání předmětných veřejných zakázek, jejichž součástí jsou Technologická zařízení.</w:t>
      </w:r>
    </w:p>
    <w:p w:rsidR="005F62B6" w:rsidRPr="009269ED" w:rsidRDefault="005F62B6" w:rsidP="0030453E">
      <w:pPr>
        <w:spacing w:after="200" w:line="276" w:lineRule="auto"/>
        <w:contextualSpacing/>
        <w:jc w:val="both"/>
        <w:rPr>
          <w:rFonts w:eastAsia="Calibri" w:cs="Times New Roman"/>
          <w:lang w:eastAsia="cs-CZ"/>
        </w:rPr>
      </w:pPr>
    </w:p>
    <w:p w:rsidR="00C43096" w:rsidRPr="0030453E" w:rsidRDefault="00C43096" w:rsidP="0030453E">
      <w:pPr>
        <w:spacing w:after="200" w:line="276" w:lineRule="auto"/>
        <w:contextualSpacing/>
        <w:jc w:val="both"/>
        <w:rPr>
          <w:rFonts w:eastAsia="Calibri" w:cs="Times New Roman"/>
          <w:color w:val="FF0000"/>
          <w:lang w:eastAsia="cs-CZ"/>
        </w:rPr>
      </w:pPr>
    </w:p>
    <w:p w:rsidR="009269ED" w:rsidRPr="00311C0D" w:rsidRDefault="009269ED" w:rsidP="009269ED">
      <w:pPr>
        <w:spacing w:after="0" w:line="240" w:lineRule="auto"/>
        <w:rPr>
          <w:rFonts w:asciiTheme="majorHAnsi" w:eastAsia="Calibri" w:hAnsiTheme="majorHAnsi" w:cs="Times New Roman"/>
          <w:b/>
          <w:lang w:eastAsia="cs-CZ"/>
        </w:rPr>
      </w:pPr>
      <w:r w:rsidRPr="00311C0D">
        <w:rPr>
          <w:rFonts w:asciiTheme="majorHAnsi" w:eastAsia="Calibri" w:hAnsiTheme="majorHAnsi" w:cs="Times New Roman"/>
          <w:b/>
          <w:lang w:eastAsia="cs-CZ"/>
        </w:rPr>
        <w:t xml:space="preserve">Dotaz č. </w:t>
      </w:r>
      <w:r>
        <w:rPr>
          <w:rFonts w:asciiTheme="majorHAnsi" w:eastAsia="Calibri" w:hAnsiTheme="majorHAnsi" w:cs="Times New Roman"/>
          <w:b/>
          <w:lang w:eastAsia="cs-CZ"/>
        </w:rPr>
        <w:t>5</w:t>
      </w:r>
      <w:r w:rsidRPr="00311C0D">
        <w:rPr>
          <w:rFonts w:asciiTheme="majorHAnsi" w:eastAsia="Calibri" w:hAnsiTheme="majorHAnsi" w:cs="Times New Roman"/>
          <w:b/>
          <w:lang w:eastAsia="cs-CZ"/>
        </w:rPr>
        <w:t>:</w:t>
      </w:r>
    </w:p>
    <w:p w:rsidR="0042745D" w:rsidRPr="00311C0D" w:rsidRDefault="0042745D" w:rsidP="0042745D">
      <w:pPr>
        <w:rPr>
          <w:rFonts w:asciiTheme="majorHAnsi" w:hAnsiTheme="majorHAnsi" w:cs="Arial"/>
          <w:color w:val="231F20"/>
        </w:rPr>
      </w:pPr>
      <w:r w:rsidRPr="00311C0D">
        <w:rPr>
          <w:rFonts w:asciiTheme="majorHAnsi" w:hAnsiTheme="majorHAnsi" w:cs="Arial"/>
        </w:rPr>
        <w:t>Zadavatel si v čl. 18.4 ZD vyhrazuje právo zrušit zadávací řízení, pokud „</w:t>
      </w:r>
      <w:r w:rsidRPr="00311C0D">
        <w:rPr>
          <w:rFonts w:asciiTheme="majorHAnsi" w:hAnsiTheme="majorHAnsi" w:cs="Arial"/>
          <w:i/>
          <w:iCs/>
        </w:rPr>
        <w:t xml:space="preserve">stavební povolení bude obsahovat podmínky, které nebyly zohledněny v zadávací dokumentaci, nebo </w:t>
      </w:r>
      <w:r w:rsidRPr="00311C0D">
        <w:rPr>
          <w:rFonts w:asciiTheme="majorHAnsi" w:hAnsiTheme="majorHAnsi" w:cs="Arial"/>
          <w:i/>
          <w:iCs/>
          <w:u w:val="single"/>
        </w:rPr>
        <w:t>nebude-li vydané stavební povolení pravomocné</w:t>
      </w:r>
      <w:r w:rsidRPr="00311C0D">
        <w:rPr>
          <w:rFonts w:asciiTheme="majorHAnsi" w:hAnsiTheme="majorHAnsi" w:cs="Arial"/>
          <w:i/>
          <w:iCs/>
        </w:rPr>
        <w:t>.</w:t>
      </w:r>
      <w:r w:rsidRPr="00311C0D">
        <w:rPr>
          <w:rFonts w:asciiTheme="majorHAnsi" w:hAnsiTheme="majorHAnsi" w:cs="Arial"/>
        </w:rPr>
        <w:t>“ Uvedená formulace je však dle tazatele nejednoznačná a nesplňuje tak požadavky plynoucí ze ZZVZ a navazující rozhodovací praxe ÚOHS</w:t>
      </w:r>
      <w:r w:rsidRPr="00311C0D">
        <w:rPr>
          <w:rStyle w:val="Znakapoznpodarou"/>
          <w:rFonts w:asciiTheme="majorHAnsi" w:hAnsiTheme="majorHAnsi" w:cs="Arial"/>
        </w:rPr>
        <w:footnoteReference w:id="3"/>
      </w:r>
      <w:r w:rsidRPr="00311C0D">
        <w:rPr>
          <w:rFonts w:asciiTheme="majorHAnsi" w:hAnsiTheme="majorHAnsi" w:cs="Arial"/>
        </w:rPr>
        <w:t xml:space="preserve"> na jasné, srozumitelné a jednoznačné formulování zadávacích podmínek. Není totiž jasné, zda zadavatelem vyhrazený důvod pro zrušení zadávacího řízení nastane až tehdy, pokud žádost o vydání stavebního povolení bude pravomocně zamítnuta, nebo bude dán kdykoliv až do doby, dokud stavební povolení nenabude právní moci. V posledně uvedeném případě by se tak zadavatel mohl za </w:t>
      </w:r>
      <w:proofErr w:type="gramStart"/>
      <w:r w:rsidRPr="00311C0D">
        <w:rPr>
          <w:rFonts w:asciiTheme="majorHAnsi" w:hAnsiTheme="majorHAnsi" w:cs="Arial"/>
        </w:rPr>
        <w:t>základě</w:t>
      </w:r>
      <w:proofErr w:type="gramEnd"/>
      <w:r w:rsidRPr="00311C0D">
        <w:rPr>
          <w:rFonts w:asciiTheme="majorHAnsi" w:hAnsiTheme="majorHAnsi" w:cs="Arial"/>
        </w:rPr>
        <w:t xml:space="preserve"> svého subjektivního uvážení rozhodnout, že zadávací řízení zruší, a to kdykoliv do nabytí právní moci stavebního povolení, tedy například i po vydání dosud nepravomocného stavebního povolení. Takový postup však dle názoru tazatele nese znaky svévole a netransparentnosti ze strany zadavatele a není v souladu s pravidly stanovenými ZZVZ, zejména se základními zásadami obsaženými v § 6 ZZVZ. Tazatel na tomto místě podotýká, že zadavatel sice je oprávněn v souladu s § 170 ZZVZ vyhradit si možnost zrušení zadávacího řízení na sektorovou veřejnou zakázku i bez naplnění důvodů podle § 127 ZZVZ, ovšem to neznamená, že by mohl zadávací řízení zrušit na základě </w:t>
      </w:r>
      <w:r w:rsidRPr="00311C0D">
        <w:rPr>
          <w:rFonts w:asciiTheme="majorHAnsi" w:hAnsiTheme="majorHAnsi" w:cs="Arial"/>
          <w:color w:val="231F20"/>
        </w:rPr>
        <w:t>svévolných, neopodstatněných, subjektivních či účelových důvodů.</w:t>
      </w:r>
      <w:r w:rsidRPr="00311C0D">
        <w:rPr>
          <w:rStyle w:val="Znakapoznpodarou"/>
          <w:rFonts w:asciiTheme="majorHAnsi" w:hAnsiTheme="majorHAnsi" w:cs="Arial"/>
          <w:color w:val="231F20"/>
        </w:rPr>
        <w:footnoteReference w:id="4"/>
      </w:r>
    </w:p>
    <w:p w:rsidR="0042745D" w:rsidRPr="00311C0D" w:rsidRDefault="0042745D" w:rsidP="0042745D">
      <w:pPr>
        <w:rPr>
          <w:rFonts w:asciiTheme="majorHAnsi" w:hAnsiTheme="majorHAnsi" w:cs="Arial"/>
          <w:b/>
          <w:bCs/>
        </w:rPr>
      </w:pPr>
      <w:r w:rsidRPr="00311C0D">
        <w:rPr>
          <w:rFonts w:asciiTheme="majorHAnsi" w:hAnsiTheme="majorHAnsi" w:cs="Arial"/>
          <w:b/>
          <w:bCs/>
        </w:rPr>
        <w:t>Přistoupí zadavatel k úpravě čl. 18.4 ZD tak, aby jím vyhrazené důvody zrušení zadávacího řízení byly formulovány jasně, srozumitelně a jednoznačně a byly v souladu se základními zásadami zadávání veřejných zakázek, zejména se zásadou transparentnosti?</w:t>
      </w:r>
    </w:p>
    <w:p w:rsidR="004761C4" w:rsidRPr="009269ED" w:rsidRDefault="0042745D" w:rsidP="0042745D">
      <w:pPr>
        <w:spacing w:after="0" w:line="240" w:lineRule="auto"/>
        <w:rPr>
          <w:rFonts w:eastAsia="Times New Roman" w:cs="Times New Roman"/>
          <w:b/>
          <w:color w:val="FF0000"/>
          <w:lang w:eastAsia="cs-CZ"/>
        </w:rPr>
      </w:pPr>
      <w:r w:rsidRPr="009269ED">
        <w:rPr>
          <w:rFonts w:asciiTheme="majorHAnsi" w:hAnsiTheme="majorHAnsi" w:cs="Arial"/>
          <w:b/>
          <w:bCs/>
        </w:rPr>
        <w:t xml:space="preserve">Tazatel současně žádá, aby zadavatel při vyřízení této žádosti postupoval v souladu s § 99 odst. 2 ZZVZ a v případě takové změny nebo doplnění zadávací dokumentace, která může rozšířit okruh možných účastníků zadávacího řízení, aby prodloužil lhůtu </w:t>
      </w:r>
      <w:r w:rsidRPr="009269ED">
        <w:rPr>
          <w:rFonts w:asciiTheme="majorHAnsi" w:hAnsiTheme="majorHAnsi" w:cs="Arial"/>
          <w:b/>
          <w:bCs/>
        </w:rPr>
        <w:lastRenderedPageBreak/>
        <w:t>pro podání nabídek tak, aby tato od odeslání změny nebo doplnění zadávací dokumentace činila nejméně celou svou původní délku.</w:t>
      </w:r>
    </w:p>
    <w:p w:rsidR="009269ED" w:rsidRDefault="009269ED" w:rsidP="0030453E">
      <w:pPr>
        <w:spacing w:after="200" w:line="276" w:lineRule="auto"/>
        <w:contextualSpacing/>
        <w:jc w:val="both"/>
        <w:rPr>
          <w:rFonts w:eastAsia="Calibri" w:cs="Times New Roman"/>
          <w:b/>
          <w:color w:val="FF0000"/>
          <w:lang w:eastAsia="cs-CZ"/>
        </w:rPr>
      </w:pPr>
    </w:p>
    <w:p w:rsidR="0030453E" w:rsidRPr="009269ED" w:rsidRDefault="0030453E" w:rsidP="0030453E">
      <w:pPr>
        <w:spacing w:after="200" w:line="276" w:lineRule="auto"/>
        <w:contextualSpacing/>
        <w:jc w:val="both"/>
        <w:rPr>
          <w:rFonts w:eastAsia="Calibri" w:cs="Times New Roman"/>
          <w:b/>
          <w:lang w:eastAsia="cs-CZ"/>
        </w:rPr>
      </w:pPr>
      <w:r w:rsidRPr="009269ED">
        <w:rPr>
          <w:rFonts w:eastAsia="Calibri" w:cs="Times New Roman"/>
          <w:b/>
          <w:lang w:eastAsia="cs-CZ"/>
        </w:rPr>
        <w:t xml:space="preserve">Odpověď: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Podle § 170 ZZVZ je zadavatel, který zadává sektorovou veřejnou zakázku, oprávněn zrušit zadávací řízení i bez naplnění důvodů podle § 127 ZZVZ, pokud si tuto možnost v zadávací dokumentaci vyhradí. V předmětné</w:t>
      </w:r>
      <w:r w:rsidR="00DA2CCA" w:rsidRPr="009269ED">
        <w:rPr>
          <w:rFonts w:eastAsia="Calibri" w:cs="Times New Roman"/>
          <w:lang w:eastAsia="cs-CZ"/>
        </w:rPr>
        <w:t>m</w:t>
      </w:r>
      <w:r w:rsidRPr="009269ED">
        <w:rPr>
          <w:rFonts w:eastAsia="Calibri" w:cs="Times New Roman"/>
          <w:lang w:eastAsia="cs-CZ"/>
        </w:rPr>
        <w:t xml:space="preserve"> zadávacím řízení si zadavatel tuto možnost vyhradil v článku 18.2 Pokynů pro dodavatele. Zadavateli přitom není povinen uvádět v zadávací dokumentaci důvody, pro které právo zrušit zadávací řízení vyhrazuje. V případě, že si zadavatel toto právo v zadávací dokumentaci vyhradí, je oprávněn zadávací řízení zrušit jak z důvodů uvedených v § 127 ZZVZ, tak i z důvodů jakýchkoli jiných skutečností, a to </w:t>
      </w:r>
      <w:r w:rsidR="00DA2CCA" w:rsidRPr="009269ED">
        <w:rPr>
          <w:rFonts w:eastAsia="Calibri" w:cs="Times New Roman"/>
          <w:lang w:eastAsia="cs-CZ"/>
        </w:rPr>
        <w:t>jak</w:t>
      </w:r>
      <w:r w:rsidRPr="009269ED">
        <w:rPr>
          <w:rFonts w:eastAsia="Calibri" w:cs="Times New Roman"/>
          <w:lang w:eastAsia="cs-CZ"/>
        </w:rPr>
        <w:t xml:space="preserve"> objektivní, tak i subjektivní povahy. Zadavatel si je přitom vědom, že jeho případné rozhodnutí o zrušení zadávacího řízení musí být řádně odůvodněno tak, aby byl jeho postup transparentní a přezkoumatelný.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S ohledem na shora uvedené skutečnosti zadavatel nejen že nesouhlasí s tvrzením tazatele, že výhrada uvedená v čl. 18.4 Pokynů pro dodavatele je projevem jeho svévole a netransparentnosti, ba právě naopak uvedení jednoho konkrétního důvodu, pro který si vyhradil právo zadávací řízení zrušit, považuje zadavatel za projev jeho transparentního přístupu, protože i na základě použití obecné výhrady uvedené v čl. 18.2 Pokynů pro dodavatele by zadavatel byl oprávněn tuto sektorovou zakázku z důvodů konkrétně uvedených v čl. 18.4 zrušit.</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K samotnému důvodu, který je v článku 18.4 Pokynů pro dodavatele uveden jako výhrada zrušení zadávacího řízení, zadavatel uvádí, že jde o citaci ze Směrnice Ministerstva dopravy ČR č. V-2/2012, tj. Směrnice upravující postupy Ministerstva dopravy, investorský</w:t>
      </w:r>
      <w:r w:rsidR="00DA2CCA" w:rsidRPr="009269ED">
        <w:rPr>
          <w:rFonts w:eastAsia="Calibri" w:cs="Times New Roman"/>
          <w:lang w:eastAsia="cs-CZ"/>
        </w:rPr>
        <w:t>ch</w:t>
      </w:r>
      <w:r w:rsidRPr="009269ED">
        <w:rPr>
          <w:rFonts w:eastAsia="Calibri" w:cs="Times New Roman"/>
          <w:lang w:eastAsia="cs-CZ"/>
        </w:rPr>
        <w:t xml:space="preserve"> organizací a státního fondu dopravní infrastruktury v průběhu přípravy investičních a neinvestičních akcí dopravní infrastruktury financovaných bez účasti státního rozpočtu. Tato směrnice je pro zadavatele závazná a mimo jiné stanoví, že zadavatel nemůže uzavřít smlouvu na plnění veřejné zakázky s vybraným dodavatelem, pokud nemá pravomocné stavební povolení. Právo zrušit zadávací řízení si proto zadavatel vyhrazuje pro všechny případy, kdy k okamžiku, kdy by podle ZZVZ měl zadavatel přistoupit k uzavření smlouvy s vybraným dodavatelem, však nebude mít zadavatel k dispozici pravomocné stavební povolení. V takovém případě zadavatel podle uvedené směrnice smlouvu na plnění veřejné zakázky uzavřít nemůže. Tuto výhradu nelze ani výkladem zužovat pouze na případy, kdy žádost o vydání stavebního povolení bude pravomocně zamítnuta. </w:t>
      </w:r>
    </w:p>
    <w:p w:rsidR="0030453E" w:rsidRPr="009269ED" w:rsidRDefault="0030453E" w:rsidP="0030453E">
      <w:pPr>
        <w:spacing w:after="200" w:line="276" w:lineRule="auto"/>
        <w:contextualSpacing/>
        <w:jc w:val="both"/>
        <w:rPr>
          <w:rFonts w:eastAsia="Calibri" w:cs="Times New Roman"/>
          <w:lang w:eastAsia="cs-CZ"/>
        </w:rPr>
      </w:pPr>
      <w:r w:rsidRPr="009269ED">
        <w:rPr>
          <w:rFonts w:eastAsia="Calibri" w:cs="Times New Roman"/>
          <w:lang w:eastAsia="cs-CZ"/>
        </w:rPr>
        <w:t>S ohledem na shora uvedené zadavatel ponechává článek 18.4 Pokynů pro dodavatele beze změny.</w:t>
      </w:r>
    </w:p>
    <w:p w:rsidR="0042745D" w:rsidRDefault="0042745D" w:rsidP="00BD5319">
      <w:pPr>
        <w:spacing w:after="0" w:line="240" w:lineRule="auto"/>
        <w:rPr>
          <w:rFonts w:eastAsia="Times New Roman" w:cs="Times New Roman"/>
          <w:b/>
          <w:color w:val="FF0000"/>
          <w:lang w:eastAsia="cs-CZ"/>
        </w:rPr>
      </w:pPr>
    </w:p>
    <w:p w:rsidR="005F62B6" w:rsidRPr="0030453E" w:rsidRDefault="005F62B6" w:rsidP="00BD5319">
      <w:pPr>
        <w:spacing w:after="0" w:line="240" w:lineRule="auto"/>
        <w:rPr>
          <w:rFonts w:eastAsia="Times New Roman" w:cs="Times New Roman"/>
          <w:b/>
          <w:color w:val="FF0000"/>
          <w:lang w:eastAsia="cs-CZ"/>
        </w:rPr>
      </w:pPr>
    </w:p>
    <w:p w:rsidR="00BD5319" w:rsidRPr="00BD5319" w:rsidRDefault="00BD5319" w:rsidP="00BD5319">
      <w:pPr>
        <w:spacing w:after="0" w:line="240" w:lineRule="auto"/>
        <w:ind w:firstLine="567"/>
        <w:rPr>
          <w:rFonts w:eastAsia="Times New Roman" w:cs="Times New Roman"/>
          <w:lang w:eastAsia="cs-CZ"/>
        </w:rPr>
      </w:pPr>
    </w:p>
    <w:p w:rsidR="0063202F" w:rsidRPr="0063202F" w:rsidRDefault="00BD5319" w:rsidP="0063202F">
      <w:pPr>
        <w:spacing w:after="0" w:line="240" w:lineRule="auto"/>
        <w:jc w:val="both"/>
        <w:rPr>
          <w:rFonts w:eastAsia="Times New Roman" w:cs="Times New Roman"/>
          <w:lang w:eastAsia="cs-CZ"/>
        </w:rPr>
      </w:pPr>
      <w:r w:rsidRPr="0063202F">
        <w:rPr>
          <w:rFonts w:eastAsia="Times New Roman" w:cs="Times New Roman"/>
          <w:lang w:eastAsia="cs-CZ"/>
        </w:rPr>
        <w:t xml:space="preserve">Vzhledem ke skutečnosti, že byly zadavatelem provedeny </w:t>
      </w:r>
      <w:r w:rsidRPr="0063202F">
        <w:rPr>
          <w:rFonts w:eastAsia="Times New Roman" w:cs="Times New Roman"/>
          <w:b/>
          <w:lang w:eastAsia="cs-CZ"/>
        </w:rPr>
        <w:t>změny/doplnění zadávací dokumentace</w:t>
      </w:r>
      <w:r w:rsidRPr="0063202F">
        <w:rPr>
          <w:rFonts w:eastAsia="Times New Roman" w:cs="Times New Roman"/>
          <w:lang w:eastAsia="cs-CZ"/>
        </w:rPr>
        <w:t xml:space="preserve">, postupuje zadavatel v souladu s </w:t>
      </w:r>
      <w:proofErr w:type="spellStart"/>
      <w:r w:rsidRPr="0063202F">
        <w:rPr>
          <w:rFonts w:eastAsia="Times New Roman" w:cs="Times New Roman"/>
          <w:lang w:eastAsia="cs-CZ"/>
        </w:rPr>
        <w:t>ust</w:t>
      </w:r>
      <w:proofErr w:type="spellEnd"/>
      <w:r w:rsidRPr="0063202F">
        <w:rPr>
          <w:rFonts w:eastAsia="Times New Roman" w:cs="Times New Roman"/>
          <w:lang w:eastAsia="cs-CZ"/>
        </w:rPr>
        <w:t xml:space="preserve">. § 99 odst. 2 ZZVZ a prodlužuje lhůtu pro podání nabídek ze dne </w:t>
      </w:r>
      <w:r w:rsidR="0063202F" w:rsidRPr="0063202F">
        <w:rPr>
          <w:rFonts w:eastAsia="Times New Roman" w:cs="Times New Roman"/>
          <w:lang w:eastAsia="cs-CZ"/>
        </w:rPr>
        <w:t xml:space="preserve">7. 12. 2020 </w:t>
      </w:r>
      <w:r w:rsidRPr="0063202F">
        <w:rPr>
          <w:rFonts w:eastAsia="Times New Roman" w:cs="Times New Roman"/>
          <w:lang w:eastAsia="cs-CZ"/>
        </w:rPr>
        <w:t xml:space="preserve">na den </w:t>
      </w:r>
      <w:r w:rsidR="0063202F" w:rsidRPr="0063202F">
        <w:rPr>
          <w:rFonts w:eastAsia="Times New Roman" w:cs="Times New Roman"/>
          <w:lang w:eastAsia="cs-CZ"/>
        </w:rPr>
        <w:t>8. 12. 2020, tedy o 1 pracovní den.</w:t>
      </w:r>
    </w:p>
    <w:p w:rsidR="00BD5319" w:rsidRPr="00BD5319" w:rsidRDefault="00BD5319" w:rsidP="0063202F">
      <w:pPr>
        <w:spacing w:after="0" w:line="240" w:lineRule="auto"/>
        <w:rPr>
          <w:rFonts w:eastAsia="Times New Roman" w:cs="Times New Roman"/>
          <w:lang w:eastAsia="cs-CZ"/>
        </w:rPr>
      </w:pPr>
    </w:p>
    <w:p w:rsidR="00BD5319" w:rsidRDefault="00BD5319" w:rsidP="00BD5319">
      <w:pPr>
        <w:spacing w:after="0" w:line="240" w:lineRule="auto"/>
        <w:rPr>
          <w:rFonts w:eastAsia="Times New Roman" w:cs="Times New Roman"/>
          <w:b/>
          <w:lang w:eastAsia="cs-CZ"/>
        </w:rPr>
      </w:pPr>
    </w:p>
    <w:p w:rsidR="005F62B6" w:rsidRPr="00BD5319" w:rsidRDefault="005F62B6"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DA27D3" w:rsidRPr="00DA27D3">
        <w:rPr>
          <w:rFonts w:eastAsia="Times New Roman" w:cs="Times New Roman"/>
          <w:lang w:eastAsia="cs-CZ"/>
        </w:rPr>
        <w:t>Z2020-039825</w:t>
      </w:r>
      <w:r w:rsidRPr="00BD5319">
        <w:rPr>
          <w:rFonts w:eastAsia="Times New Roman" w:cs="Times New Roman"/>
          <w:lang w:eastAsia="cs-CZ"/>
        </w:rPr>
        <w:t>). Změny se týkají těchto ustanovení:</w:t>
      </w:r>
    </w:p>
    <w:p w:rsidR="00BD5319" w:rsidRDefault="00BD5319" w:rsidP="00BD5319">
      <w:pPr>
        <w:spacing w:after="0" w:line="240" w:lineRule="auto"/>
        <w:rPr>
          <w:rFonts w:eastAsia="Times New Roman" w:cs="Times New Roman"/>
          <w:b/>
          <w:lang w:eastAsia="cs-CZ"/>
        </w:rPr>
      </w:pPr>
    </w:p>
    <w:p w:rsidR="005F62B6" w:rsidRPr="00BD5319" w:rsidRDefault="005F62B6"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3202F">
        <w:rPr>
          <w:rFonts w:eastAsia="Times New Roman" w:cs="Times New Roman"/>
          <w:lang w:eastAsia="cs-CZ"/>
        </w:rPr>
        <w:t>7. 12. 2020</w:t>
      </w:r>
      <w:r w:rsidRPr="00BD5319">
        <w:rPr>
          <w:rFonts w:eastAsia="Times New Roman" w:cs="Times New Roman"/>
          <w:lang w:eastAsia="cs-CZ"/>
        </w:rPr>
        <w:t xml:space="preserve"> v 10:00 hod. a nahrazujeme datem </w:t>
      </w:r>
      <w:r w:rsidR="0063202F" w:rsidRPr="0063202F">
        <w:rPr>
          <w:rFonts w:eastAsia="Times New Roman" w:cs="Times New Roman"/>
          <w:lang w:eastAsia="cs-CZ"/>
        </w:rPr>
        <w:t>8. 12. 2020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3202F">
        <w:rPr>
          <w:rFonts w:eastAsia="Times New Roman" w:cs="Times New Roman"/>
          <w:lang w:eastAsia="cs-CZ"/>
        </w:rPr>
        <w:t>7. 12. 2020</w:t>
      </w:r>
      <w:r w:rsidR="0063202F"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63202F" w:rsidRPr="0063202F">
        <w:rPr>
          <w:rFonts w:eastAsia="Times New Roman" w:cs="Times New Roman"/>
          <w:lang w:eastAsia="cs-CZ"/>
        </w:rPr>
        <w:t>8. 12. 2020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Default="00BD5319" w:rsidP="00BD5319">
      <w:pPr>
        <w:spacing w:after="0" w:line="240" w:lineRule="auto"/>
        <w:rPr>
          <w:rFonts w:eastAsia="Times New Roman" w:cs="Times New Roman"/>
          <w:lang w:eastAsia="cs-CZ"/>
        </w:rPr>
      </w:pPr>
    </w:p>
    <w:p w:rsidR="005F62B6" w:rsidRDefault="005F62B6" w:rsidP="00BD5319">
      <w:pPr>
        <w:spacing w:after="0" w:line="240" w:lineRule="auto"/>
        <w:rPr>
          <w:rFonts w:eastAsia="Times New Roman" w:cs="Times New Roman"/>
          <w:lang w:eastAsia="cs-CZ"/>
        </w:rPr>
      </w:pPr>
    </w:p>
    <w:p w:rsidR="005F62B6" w:rsidRPr="00BD5319" w:rsidRDefault="005F62B6" w:rsidP="00BD5319">
      <w:pPr>
        <w:spacing w:after="0" w:line="240" w:lineRule="auto"/>
        <w:rPr>
          <w:rFonts w:eastAsia="Times New Roman" w:cs="Times New Roman"/>
          <w:lang w:eastAsia="cs-CZ"/>
        </w:rPr>
      </w:pPr>
    </w:p>
    <w:p w:rsidR="005F62B6" w:rsidRDefault="005F62B6" w:rsidP="00BD5319">
      <w:pPr>
        <w:tabs>
          <w:tab w:val="left" w:pos="993"/>
          <w:tab w:val="center" w:pos="7371"/>
        </w:tabs>
        <w:spacing w:after="0" w:line="240" w:lineRule="auto"/>
        <w:jc w:val="both"/>
        <w:rPr>
          <w:rFonts w:eastAsia="Calibri" w:cs="Times New Roman"/>
          <w:lang w:eastAsia="cs-CZ"/>
        </w:rPr>
      </w:pPr>
    </w:p>
    <w:p w:rsidR="005F62B6" w:rsidRDefault="005F62B6" w:rsidP="00BD5319">
      <w:pPr>
        <w:tabs>
          <w:tab w:val="left" w:pos="993"/>
          <w:tab w:val="center" w:pos="7371"/>
        </w:tabs>
        <w:spacing w:after="0" w:line="240" w:lineRule="auto"/>
        <w:jc w:val="both"/>
        <w:rPr>
          <w:rFonts w:eastAsia="Calibri"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63202F">
        <w:rPr>
          <w:rFonts w:eastAsia="Calibri" w:cs="Times New Roman"/>
          <w:lang w:eastAsia="cs-CZ"/>
        </w:rPr>
        <w:t xml:space="preserve">Vysvětlení/ změnu/ doplnění zadávací dokumentace včetně příloh zadavatel uveřejňuje na profilu zadavatele na webovém </w:t>
      </w:r>
      <w:r w:rsidRPr="00BD5319">
        <w:rPr>
          <w:rFonts w:eastAsia="Calibri" w:cs="Times New Roman"/>
          <w:lang w:eastAsia="cs-CZ"/>
        </w:rPr>
        <w:t xml:space="preserve">portálu </w:t>
      </w:r>
      <w:hyperlink r:id="rId13"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r w:rsidRPr="005F62B6">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rsidR="001E5C07" w:rsidRDefault="001E5C07" w:rsidP="001E5C07">
      <w:pPr>
        <w:spacing w:after="0" w:line="240" w:lineRule="auto"/>
        <w:jc w:val="both"/>
        <w:rPr>
          <w:rFonts w:eastAsia="Calibri" w:cs="Times New Roman"/>
          <w:lang w:eastAsia="cs-CZ"/>
        </w:rPr>
      </w:pPr>
      <w:r w:rsidRPr="001E5C07">
        <w:rPr>
          <w:rFonts w:eastAsia="Calibri" w:cs="Times New Roman"/>
          <w:lang w:eastAsia="cs-CZ"/>
        </w:rPr>
        <w:t>Soupis praci_XLS_25_11_2020</w:t>
      </w:r>
    </w:p>
    <w:p w:rsidR="001E5C07" w:rsidRPr="008958E6" w:rsidRDefault="001E5C07" w:rsidP="001E5C07">
      <w:pPr>
        <w:spacing w:after="0" w:line="240" w:lineRule="auto"/>
        <w:jc w:val="both"/>
        <w:rPr>
          <w:rFonts w:eastAsia="Calibri" w:cs="Times New Roman"/>
          <w:lang w:eastAsia="cs-CZ"/>
        </w:rPr>
      </w:pPr>
      <w:r w:rsidRPr="001E5C07">
        <w:rPr>
          <w:rFonts w:eastAsia="Calibri" w:cs="Times New Roman"/>
          <w:lang w:eastAsia="cs-CZ"/>
        </w:rPr>
        <w:t>Soupis praci_XC4_25_11_2020</w:t>
      </w: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157766" w:rsidRDefault="00157766" w:rsidP="00BD5319">
      <w:pPr>
        <w:spacing w:after="0" w:line="240" w:lineRule="auto"/>
        <w:jc w:val="both"/>
        <w:rPr>
          <w:rFonts w:eastAsia="Calibri" w:cs="Times New Roman"/>
          <w:lang w:eastAsia="cs-CZ"/>
        </w:rPr>
      </w:pPr>
    </w:p>
    <w:p w:rsidR="00157766" w:rsidRPr="00BD5319" w:rsidRDefault="00157766" w:rsidP="00BD5319">
      <w:pPr>
        <w:spacing w:after="0" w:line="240" w:lineRule="auto"/>
        <w:jc w:val="both"/>
        <w:rPr>
          <w:rFonts w:eastAsia="Calibri" w:cs="Times New Roman"/>
          <w:lang w:eastAsia="cs-CZ"/>
        </w:rPr>
      </w:pPr>
      <w:bookmarkStart w:id="1" w:name="_GoBack"/>
      <w:bookmarkEnd w:id="1"/>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485" w:rsidRDefault="00115485" w:rsidP="00962258">
      <w:pPr>
        <w:spacing w:after="0" w:line="240" w:lineRule="auto"/>
      </w:pPr>
      <w:r>
        <w:separator/>
      </w:r>
    </w:p>
  </w:endnote>
  <w:endnote w:type="continuationSeparator" w:id="0">
    <w:p w:rsidR="00115485" w:rsidRDefault="001154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77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7766">
            <w:rPr>
              <w:rStyle w:val="slostrnky"/>
              <w:noProof/>
            </w:rPr>
            <w:t>9</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AA152D8" wp14:editId="39F3E49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A1D35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C9435B6" wp14:editId="3CDD79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3505B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776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7766">
            <w:rPr>
              <w:rStyle w:val="slostrnky"/>
              <w:noProof/>
            </w:rPr>
            <w:t>9</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794B92D" wp14:editId="3F90A4E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808CA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B1201B0" wp14:editId="6CD78E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70A4F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485" w:rsidRDefault="00115485" w:rsidP="00962258">
      <w:pPr>
        <w:spacing w:after="0" w:line="240" w:lineRule="auto"/>
      </w:pPr>
      <w:r>
        <w:separator/>
      </w:r>
    </w:p>
  </w:footnote>
  <w:footnote w:type="continuationSeparator" w:id="0">
    <w:p w:rsidR="00115485" w:rsidRDefault="00115485" w:rsidP="00962258">
      <w:pPr>
        <w:spacing w:after="0" w:line="240" w:lineRule="auto"/>
      </w:pPr>
      <w:r>
        <w:continuationSeparator/>
      </w:r>
    </w:p>
  </w:footnote>
  <w:footnote w:id="1">
    <w:p w:rsidR="0042745D" w:rsidRDefault="0042745D" w:rsidP="0042745D">
      <w:pPr>
        <w:pStyle w:val="Textpoznpodarou"/>
      </w:pPr>
      <w:r>
        <w:rPr>
          <w:rStyle w:val="Znakapoznpodarou"/>
        </w:rPr>
        <w:footnoteRef/>
      </w:r>
      <w:r>
        <w:t xml:space="preserve"> Srov. např. rozhodnutí ÚOHS </w:t>
      </w:r>
      <w:r w:rsidRPr="002E1A89">
        <w:t>č. j. ÚOHS-S0245/2018/VZ-24395/2018/533/</w:t>
      </w:r>
      <w:proofErr w:type="spellStart"/>
      <w:r w:rsidRPr="002E1A89">
        <w:t>BKu</w:t>
      </w:r>
      <w:proofErr w:type="spellEnd"/>
      <w:r w:rsidRPr="002E1A89">
        <w:t xml:space="preserve"> </w:t>
      </w:r>
      <w:r>
        <w:t xml:space="preserve">ze dne 21. 8. 2018 nebo rozhodnutí ÚOHS </w:t>
      </w:r>
      <w:r w:rsidRPr="002E1A89">
        <w:t>č. j. ÚOHS-03064/2020/513/</w:t>
      </w:r>
      <w:proofErr w:type="spellStart"/>
      <w:r w:rsidRPr="002E1A89">
        <w:t>EPi</w:t>
      </w:r>
      <w:proofErr w:type="spellEnd"/>
      <w:r>
        <w:t xml:space="preserve"> ze dne 27. 1. 2020.</w:t>
      </w:r>
    </w:p>
  </w:footnote>
  <w:footnote w:id="2">
    <w:p w:rsidR="0042745D" w:rsidRPr="00B3677D" w:rsidRDefault="0042745D" w:rsidP="0042745D">
      <w:pPr>
        <w:pStyle w:val="Textpoznpodarou"/>
        <w:rPr>
          <w:rFonts w:cs="Segoe UI"/>
        </w:rPr>
      </w:pPr>
      <w:r w:rsidRPr="00B3677D">
        <w:rPr>
          <w:rStyle w:val="Znakapoznpodarou"/>
          <w:rFonts w:cs="Segoe UI"/>
        </w:rPr>
        <w:footnoteRef/>
      </w:r>
      <w:r w:rsidRPr="00B3677D">
        <w:rPr>
          <w:rFonts w:cs="Segoe UI"/>
        </w:rPr>
        <w:t xml:space="preserve"> Viz </w:t>
      </w:r>
      <w:r>
        <w:rPr>
          <w:rFonts w:cs="Segoe UI"/>
        </w:rPr>
        <w:t xml:space="preserve">např. </w:t>
      </w:r>
      <w:r w:rsidRPr="00B3677D">
        <w:rPr>
          <w:rFonts w:cs="Segoe UI"/>
        </w:rPr>
        <w:t>směrnice Evropského parlamentu a Rady 2004/49/ES ze dne 29. dubna 2004 o bezpečnosti železnic Společenství a o změně směrnice Rady 95/18/ES o vydávání licencí železničním podnikům a směrnice 2001/14/ES o přidělování kapacity železniční infrastruktury, zpoplatnění železniční infrastruktury a o vydávání osvědčení o bezpečnosti (Směrnice o bezpečnosti železnic)</w:t>
      </w:r>
      <w:r>
        <w:rPr>
          <w:rFonts w:cs="Segoe UI"/>
        </w:rPr>
        <w:t xml:space="preserve">, </w:t>
      </w:r>
      <w:r w:rsidRPr="00B3677D">
        <w:rPr>
          <w:rFonts w:cs="Segoe UI"/>
        </w:rPr>
        <w:t xml:space="preserve">směrnice Evropského parlamentu a Rady 2008/57/ES ze dne 17. června 2008 o interoperabilitě železničního systému ve Společenství či </w:t>
      </w:r>
      <w:r>
        <w:rPr>
          <w:rFonts w:cs="Segoe UI"/>
        </w:rPr>
        <w:t>n</w:t>
      </w:r>
      <w:r w:rsidRPr="00B3677D">
        <w:rPr>
          <w:rFonts w:cs="Segoe UI"/>
        </w:rPr>
        <w:t>ařízení Evropského parlamentu a Rady (EU) č. 305/2011 ze dne 9. března 2011, kterým se stanoví harmonizované podmínky pro uvádění stavebních výrobků na trh a kterým se zrušuje směrnice Rady 89/106/EHS.</w:t>
      </w:r>
    </w:p>
    <w:p w:rsidR="0042745D" w:rsidRDefault="0042745D" w:rsidP="0042745D">
      <w:pPr>
        <w:pStyle w:val="Textpoznpodarou"/>
      </w:pPr>
    </w:p>
  </w:footnote>
  <w:footnote w:id="3">
    <w:p w:rsidR="0042745D" w:rsidRDefault="0042745D" w:rsidP="0042745D">
      <w:pPr>
        <w:pStyle w:val="Textpoznpodarou"/>
      </w:pPr>
      <w:r>
        <w:rPr>
          <w:rStyle w:val="Znakapoznpodarou"/>
        </w:rPr>
        <w:footnoteRef/>
      </w:r>
      <w:r>
        <w:t xml:space="preserve"> Viz poznámka pod čarou č. 1.</w:t>
      </w:r>
    </w:p>
  </w:footnote>
  <w:footnote w:id="4">
    <w:p w:rsidR="0042745D" w:rsidRDefault="0042745D" w:rsidP="0042745D">
      <w:pPr>
        <w:pStyle w:val="Textpoznpodarou"/>
      </w:pPr>
      <w:r>
        <w:rPr>
          <w:rStyle w:val="Znakapoznpodarou"/>
        </w:rPr>
        <w:footnoteRef/>
      </w:r>
      <w:r>
        <w:t xml:space="preserve"> </w:t>
      </w:r>
      <w:r>
        <w:rPr>
          <w:rFonts w:cs="Segoe UI"/>
        </w:rPr>
        <w:t>Srov.</w:t>
      </w:r>
      <w:r w:rsidRPr="00012CA3">
        <w:rPr>
          <w:rFonts w:cs="Segoe UI"/>
        </w:rPr>
        <w:t xml:space="preserve"> </w:t>
      </w:r>
      <w:r w:rsidRPr="00012CA3">
        <w:rPr>
          <w:rFonts w:cs="Segoe UI"/>
          <w:i/>
          <w:iCs/>
        </w:rPr>
        <w:t xml:space="preserve">Dvořák, D., </w:t>
      </w:r>
      <w:proofErr w:type="spellStart"/>
      <w:r w:rsidRPr="00012CA3">
        <w:rPr>
          <w:rFonts w:cs="Segoe UI"/>
          <w:i/>
          <w:iCs/>
        </w:rPr>
        <w:t>Machurek</w:t>
      </w:r>
      <w:proofErr w:type="spellEnd"/>
      <w:r w:rsidRPr="00012CA3">
        <w:rPr>
          <w:rFonts w:cs="Segoe UI"/>
          <w:i/>
          <w:iCs/>
        </w:rPr>
        <w:t>, T., Novotný P., Šebesta, M. a kolektiv</w:t>
      </w:r>
      <w:r w:rsidRPr="00012CA3">
        <w:rPr>
          <w:rFonts w:cs="Segoe UI"/>
        </w:rPr>
        <w:t>. Zákon o zadávání veřejných zakázek. Komentář. 1. vydání. Praha: Nakladatelství C. H. Beck, 2017, s</w:t>
      </w:r>
      <w:r w:rsidRPr="003834A5">
        <w:rPr>
          <w:rFonts w:cs="Segoe UI"/>
        </w:rPr>
        <w:t>.</w:t>
      </w:r>
      <w:r>
        <w:rPr>
          <w:rFonts w:cs="Segoe UI"/>
        </w:rPr>
        <w:t xml:space="preserve"> 908.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41C43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B6EDB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3B4D3AD0"/>
    <w:multiLevelType w:val="hybridMultilevel"/>
    <w:tmpl w:val="05888B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nsid w:val="5B1B6022"/>
    <w:multiLevelType w:val="hybridMultilevel"/>
    <w:tmpl w:val="05888B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0"/>
  </w:num>
  <w:num w:numId="6">
    <w:abstractNumId w:val="5"/>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3A82"/>
    <w:rsid w:val="000B6C7E"/>
    <w:rsid w:val="000B7907"/>
    <w:rsid w:val="000C0429"/>
    <w:rsid w:val="000C45E8"/>
    <w:rsid w:val="00114472"/>
    <w:rsid w:val="00115485"/>
    <w:rsid w:val="001565E8"/>
    <w:rsid w:val="00157766"/>
    <w:rsid w:val="00170EC5"/>
    <w:rsid w:val="001747C1"/>
    <w:rsid w:val="0018596A"/>
    <w:rsid w:val="001B69C2"/>
    <w:rsid w:val="001C4DA0"/>
    <w:rsid w:val="001E5C07"/>
    <w:rsid w:val="00207DF5"/>
    <w:rsid w:val="0022364F"/>
    <w:rsid w:val="00267369"/>
    <w:rsid w:val="0026785D"/>
    <w:rsid w:val="002C31BF"/>
    <w:rsid w:val="002E0CD7"/>
    <w:rsid w:val="002F026B"/>
    <w:rsid w:val="0030453E"/>
    <w:rsid w:val="00311C0D"/>
    <w:rsid w:val="00357BC6"/>
    <w:rsid w:val="0037111D"/>
    <w:rsid w:val="003756B9"/>
    <w:rsid w:val="003956C6"/>
    <w:rsid w:val="003E6B9A"/>
    <w:rsid w:val="003E75CE"/>
    <w:rsid w:val="0041380F"/>
    <w:rsid w:val="004240CA"/>
    <w:rsid w:val="0042745D"/>
    <w:rsid w:val="00450F07"/>
    <w:rsid w:val="00453CD3"/>
    <w:rsid w:val="00455BC7"/>
    <w:rsid w:val="00460660"/>
    <w:rsid w:val="00460CCB"/>
    <w:rsid w:val="004761C4"/>
    <w:rsid w:val="00477370"/>
    <w:rsid w:val="00486107"/>
    <w:rsid w:val="00491827"/>
    <w:rsid w:val="004926B0"/>
    <w:rsid w:val="004A7C69"/>
    <w:rsid w:val="004B3377"/>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5F62B6"/>
    <w:rsid w:val="006104F6"/>
    <w:rsid w:val="0061068E"/>
    <w:rsid w:val="0063202F"/>
    <w:rsid w:val="00642161"/>
    <w:rsid w:val="00660AD3"/>
    <w:rsid w:val="006A5570"/>
    <w:rsid w:val="006A689C"/>
    <w:rsid w:val="006B3D79"/>
    <w:rsid w:val="006C65B5"/>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17EDD"/>
    <w:rsid w:val="00891334"/>
    <w:rsid w:val="008A3568"/>
    <w:rsid w:val="008D03B9"/>
    <w:rsid w:val="008F18D6"/>
    <w:rsid w:val="00904780"/>
    <w:rsid w:val="009113A8"/>
    <w:rsid w:val="00922385"/>
    <w:rsid w:val="009223DF"/>
    <w:rsid w:val="009269ED"/>
    <w:rsid w:val="00936091"/>
    <w:rsid w:val="00940D8A"/>
    <w:rsid w:val="00962258"/>
    <w:rsid w:val="009678B7"/>
    <w:rsid w:val="00982411"/>
    <w:rsid w:val="00992D9C"/>
    <w:rsid w:val="00996CB8"/>
    <w:rsid w:val="009A7568"/>
    <w:rsid w:val="009B2E97"/>
    <w:rsid w:val="009B3C69"/>
    <w:rsid w:val="009B72CC"/>
    <w:rsid w:val="009E07F4"/>
    <w:rsid w:val="009F392E"/>
    <w:rsid w:val="00A01C51"/>
    <w:rsid w:val="00A13326"/>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30759"/>
    <w:rsid w:val="00C43096"/>
    <w:rsid w:val="00C44761"/>
    <w:rsid w:val="00C44F6A"/>
    <w:rsid w:val="00C457EC"/>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27D3"/>
    <w:rsid w:val="00DA2CCA"/>
    <w:rsid w:val="00DA6FFE"/>
    <w:rsid w:val="00DC3110"/>
    <w:rsid w:val="00DD46F3"/>
    <w:rsid w:val="00DD58A6"/>
    <w:rsid w:val="00DE56F2"/>
    <w:rsid w:val="00DF116D"/>
    <w:rsid w:val="00E10710"/>
    <w:rsid w:val="00E824F1"/>
    <w:rsid w:val="00EB104F"/>
    <w:rsid w:val="00ED14BD"/>
    <w:rsid w:val="00ED4E95"/>
    <w:rsid w:val="00ED62E7"/>
    <w:rsid w:val="00F01440"/>
    <w:rsid w:val="00F12DEC"/>
    <w:rsid w:val="00F1715C"/>
    <w:rsid w:val="00F22AA9"/>
    <w:rsid w:val="00F310F8"/>
    <w:rsid w:val="00F35939"/>
    <w:rsid w:val="00F45607"/>
    <w:rsid w:val="00F56B5C"/>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 1,cp_Odstavec se seznamem,Bullet Number,Bullet List,FooterText,numbered,Paragraphe de liste1,Bulletr List Paragraph,列出段落,列出段落1,List Paragraph21,Listeafsnit1,Parágrafo da Lista1,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unhideWhenUsed/>
    <w:rsid w:val="0042745D"/>
    <w:rPr>
      <w:vertAlign w:val="superscript"/>
    </w:rPr>
  </w:style>
  <w:style w:type="character" w:customStyle="1" w:styleId="OdstavecseseznamemChar">
    <w:name w:val="Odstavec se seznamem Char"/>
    <w:aliases w:val="Odstavec 1 Char,cp_Odstavec se seznamem Char,Bullet Number Char,Bullet List Char,FooterText Char,numbered Char,Paragraphe de liste1 Char,Bulletr List Paragraph Char,列出段落 Char,列出段落1 Char,List Paragraph21 Char,Listeafsnit1 Char"/>
    <w:link w:val="Odstavecseseznamem"/>
    <w:uiPriority w:val="34"/>
    <w:rsid w:val="004274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 1,cp_Odstavec se seznamem,Bullet Number,Bullet List,FooterText,numbered,Paragraphe de liste1,Bulletr List Paragraph,列出段落,列出段落1,List Paragraph21,Listeafsnit1,Parágrafo da Lista1,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unhideWhenUsed/>
    <w:rsid w:val="0042745D"/>
    <w:rPr>
      <w:vertAlign w:val="superscript"/>
    </w:rPr>
  </w:style>
  <w:style w:type="character" w:customStyle="1" w:styleId="OdstavecseseznamemChar">
    <w:name w:val="Odstavec se seznamem Char"/>
    <w:aliases w:val="Odstavec 1 Char,cp_Odstavec se seznamem Char,Bullet Number Char,Bullet List Char,FooterText Char,numbered Char,Paragraphe de liste1 Char,Bulletr List Paragraph Char,列出段落 Char,列出段落1 Char,List Paragraph21 Char,Listeafsnit1 Char"/>
    <w:link w:val="Odstavecseseznamem"/>
    <w:uiPriority w:val="34"/>
    <w:rsid w:val="00427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E063A6F9-5AB7-4F60-955A-90E62896A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25</TotalTime>
  <Pages>9</Pages>
  <Words>4524</Words>
  <Characters>26694</Characters>
  <Application>Microsoft Office Word</Application>
  <DocSecurity>0</DocSecurity>
  <Lines>222</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8</cp:revision>
  <cp:lastPrinted>2020-11-26T10:42:00Z</cp:lastPrinted>
  <dcterms:created xsi:type="dcterms:W3CDTF">2020-11-26T09:59:00Z</dcterms:created>
  <dcterms:modified xsi:type="dcterms:W3CDTF">2020-11-27T10:18:00Z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